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firstLineChars="0"/>
        <w:jc w:val="left"/>
        <w:rPr>
          <w:rFonts w:hint="eastAsia" w:ascii="Times New Roman" w:hAnsi="Times New Roman" w:eastAsia="黑体" w:cs="方正小标宋_GBK"/>
          <w:sz w:val="32"/>
          <w:szCs w:val="44"/>
        </w:rPr>
      </w:pPr>
      <w:bookmarkStart w:id="0" w:name="_GoBack"/>
      <w:bookmarkEnd w:id="0"/>
      <w:r>
        <w:rPr>
          <w:rFonts w:hint="eastAsia" w:ascii="Times New Roman" w:hAnsi="Times New Roman" w:eastAsia="黑体" w:cs="方正小标宋_GBK"/>
          <w:sz w:val="32"/>
          <w:szCs w:val="44"/>
          <w:lang w:eastAsia="zh-CN"/>
        </w:rPr>
        <w:t>附件</w:t>
      </w:r>
      <w:r>
        <w:rPr>
          <w:rFonts w:hint="eastAsia" w:ascii="Times New Roman" w:hAnsi="Times New Roman" w:eastAsia="黑体" w:cs="方正小标宋_GBK"/>
          <w:sz w:val="32"/>
          <w:szCs w:val="44"/>
          <w:lang w:val="en-US" w:eastAsia="zh-CN"/>
        </w:rPr>
        <w:t>2</w:t>
      </w:r>
      <w:r>
        <w:rPr>
          <w:rFonts w:hint="eastAsia" w:ascii="Times New Roman" w:hAnsi="Times New Roman" w:eastAsia="黑体" w:cs="方正小标宋_GBK"/>
          <w:sz w:val="32"/>
          <w:szCs w:val="44"/>
        </w:rPr>
        <w:fldChar w:fldCharType="begin"/>
      </w:r>
      <w:r>
        <w:rPr>
          <w:rFonts w:hint="eastAsia" w:ascii="Times New Roman" w:hAnsi="Times New Roman" w:eastAsia="黑体" w:cs="方正小标宋_GBK"/>
          <w:sz w:val="32"/>
          <w:szCs w:val="44"/>
        </w:rPr>
        <w:instrText xml:space="preserve">ADDIN CNKISM.UserStyle</w:instrText>
      </w:r>
      <w:r>
        <w:rPr>
          <w:rFonts w:hint="eastAsia" w:ascii="Times New Roman" w:hAnsi="Times New Roman" w:eastAsia="黑体" w:cs="方正小标宋_GBK"/>
          <w:sz w:val="32"/>
          <w:szCs w:val="44"/>
        </w:rPr>
        <w:fldChar w:fldCharType="end"/>
      </w:r>
    </w:p>
    <w:p>
      <w:pPr>
        <w:spacing w:line="660" w:lineRule="exact"/>
        <w:jc w:val="center"/>
        <w:rPr>
          <w:rFonts w:ascii="Times New Roman" w:hAnsi="Times New Roman" w:eastAsia="方正小标宋_GBK" w:cs="方正小标宋_GBK"/>
          <w:sz w:val="44"/>
          <w:szCs w:val="44"/>
        </w:rPr>
      </w:pPr>
      <w:r>
        <w:rPr>
          <w:rFonts w:ascii="Times New Roman" w:hAnsi="Times New Roman" w:eastAsia="方正小标宋_GBK" w:cs="方正小标宋_GBK"/>
          <w:sz w:val="44"/>
          <w:szCs w:val="44"/>
        </w:rPr>
        <w:fldChar w:fldCharType="begin"/>
      </w:r>
      <w:r>
        <w:rPr>
          <w:rFonts w:hint="eastAsia" w:ascii="Times New Roman" w:hAnsi="Times New Roman" w:eastAsia="方正小标宋_GBK" w:cs="方正小标宋_GBK"/>
          <w:sz w:val="44"/>
          <w:szCs w:val="44"/>
        </w:rPr>
        <w:instrText xml:space="preserve">ADDIN CNKISM.UserStyle</w:instrText>
      </w:r>
      <w:r>
        <w:rPr>
          <w:rFonts w:ascii="Times New Roman" w:hAnsi="Times New Roman" w:eastAsia="方正小标宋_GBK" w:cs="方正小标宋_GBK"/>
          <w:sz w:val="44"/>
          <w:szCs w:val="44"/>
        </w:rPr>
        <w:fldChar w:fldCharType="end"/>
      </w:r>
    </w:p>
    <w:p>
      <w:pPr>
        <w:spacing w:line="660" w:lineRule="exact"/>
        <w:jc w:val="center"/>
        <w:rPr>
          <w:rFonts w:ascii="Times New Roman" w:hAnsi="Times New Roman" w:eastAsia="华文中宋" w:cs="华文中宋"/>
          <w:b/>
          <w:bCs/>
          <w:sz w:val="44"/>
          <w:szCs w:val="44"/>
        </w:rPr>
      </w:pPr>
    </w:p>
    <w:p>
      <w:pPr>
        <w:spacing w:line="600" w:lineRule="exact"/>
        <w:jc w:val="center"/>
        <w:rPr>
          <w:rFonts w:hint="eastAsia" w:ascii="Times New Roman" w:hAnsi="Times New Roman" w:eastAsia="方正小标宋简体" w:cs="方正小标宋简体"/>
          <w:b w:val="0"/>
          <w:bCs w:val="0"/>
          <w:sz w:val="44"/>
          <w:szCs w:val="44"/>
          <w:lang w:val="en"/>
        </w:rPr>
      </w:pPr>
      <w:r>
        <w:rPr>
          <w:rFonts w:hint="eastAsia" w:ascii="Times New Roman" w:hAnsi="Times New Roman" w:eastAsia="方正小标宋简体" w:cs="方正小标宋简体"/>
          <w:b w:val="0"/>
          <w:bCs w:val="0"/>
          <w:sz w:val="44"/>
          <w:szCs w:val="44"/>
          <w:lang w:val="en-US"/>
        </w:rPr>
        <w:t>202</w:t>
      </w:r>
      <w:r>
        <w:rPr>
          <w:rFonts w:hint="eastAsia" w:ascii="Times New Roman" w:hAnsi="Times New Roman" w:eastAsia="方正小标宋简体" w:cs="方正小标宋简体"/>
          <w:b w:val="0"/>
          <w:bCs w:val="0"/>
          <w:sz w:val="44"/>
          <w:szCs w:val="44"/>
          <w:lang w:val="en-US" w:eastAsia="zh-CN"/>
        </w:rPr>
        <w:t>3</w:t>
      </w:r>
      <w:r>
        <w:rPr>
          <w:rFonts w:hint="default" w:ascii="Times New Roman" w:hAnsi="Times New Roman" w:eastAsia="方正小标宋简体" w:cs="方正小标宋简体"/>
          <w:b w:val="0"/>
          <w:bCs w:val="0"/>
          <w:sz w:val="44"/>
          <w:szCs w:val="44"/>
          <w:lang w:val="en"/>
        </w:rPr>
        <w:t>年</w:t>
      </w:r>
      <w:r>
        <w:rPr>
          <w:rFonts w:hint="eastAsia" w:ascii="Times New Roman" w:hAnsi="Times New Roman" w:eastAsia="方正小标宋简体" w:cs="方正小标宋简体"/>
          <w:b w:val="0"/>
          <w:bCs w:val="0"/>
          <w:sz w:val="44"/>
          <w:szCs w:val="44"/>
          <w:lang w:val="en"/>
        </w:rPr>
        <w:t>城市国土空间监测实施方案</w:t>
      </w:r>
    </w:p>
    <w:p>
      <w:pPr>
        <w:spacing w:line="600" w:lineRule="exact"/>
        <w:jc w:val="center"/>
        <w:rPr>
          <w:rFonts w:hint="eastAsia" w:ascii="Times New Roman" w:hAnsi="Times New Roman" w:eastAsia="方正小标宋简体" w:cs="方正小标宋简体"/>
          <w:b w:val="0"/>
          <w:bCs w:val="0"/>
          <w:sz w:val="44"/>
          <w:szCs w:val="44"/>
          <w:lang w:val="e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 w:eastAsia="zh-CN"/>
        </w:rPr>
      </w:pPr>
      <w:r>
        <w:rPr>
          <w:rFonts w:hint="eastAsia" w:ascii="Times New Roman" w:hAnsi="Times New Roman" w:eastAsia="仿宋_GB2312" w:cs="方正小标宋简体"/>
          <w:b w:val="0"/>
          <w:bCs w:val="0"/>
          <w:sz w:val="32"/>
          <w:szCs w:val="44"/>
          <w:lang w:val="en" w:eastAsia="zh-CN"/>
        </w:rPr>
        <w:t>为做好</w:t>
      </w:r>
      <w:r>
        <w:rPr>
          <w:rFonts w:hint="eastAsia" w:ascii="Times New Roman" w:hAnsi="Times New Roman" w:eastAsia="仿宋_GB2312" w:cs="方正小标宋简体"/>
          <w:b w:val="0"/>
          <w:bCs w:val="0"/>
          <w:sz w:val="32"/>
          <w:szCs w:val="44"/>
          <w:lang w:val="en-US" w:eastAsia="zh-CN"/>
        </w:rPr>
        <w:t>2023年城市国土空间监测工作</w:t>
      </w:r>
      <w:r>
        <w:rPr>
          <w:rFonts w:hint="eastAsia" w:ascii="Times New Roman" w:hAnsi="Times New Roman" w:eastAsia="仿宋_GB2312" w:cs="方正小标宋简体"/>
          <w:b w:val="0"/>
          <w:bCs w:val="0"/>
          <w:sz w:val="32"/>
          <w:szCs w:val="44"/>
          <w:lang w:val="en" w:eastAsia="zh-CN"/>
        </w:rPr>
        <w:t>，特制定本方案。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Times New Roman" w:hAnsi="Times New Roman" w:eastAsia="黑体" w:cs="黑体"/>
          <w:sz w:val="32"/>
          <w:szCs w:val="32"/>
          <w:lang w:val="en" w:eastAsia="zh-CN"/>
        </w:rPr>
      </w:pPr>
      <w:r>
        <w:rPr>
          <w:rFonts w:hint="eastAsia" w:ascii="Times New Roman" w:hAnsi="Times New Roman" w:eastAsia="黑体" w:cs="黑体"/>
          <w:sz w:val="32"/>
          <w:szCs w:val="32"/>
          <w:lang w:val="en" w:eastAsia="zh-CN"/>
        </w:rPr>
        <w:t>一、工作目标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 w:eastAsia="zh-CN"/>
        </w:rPr>
      </w:pPr>
      <w:r>
        <w:rPr>
          <w:rFonts w:hint="eastAsia" w:ascii="Times New Roman" w:hAnsi="Times New Roman" w:eastAsia="仿宋_GB2312" w:cs="方正小标宋简体"/>
          <w:b w:val="0"/>
          <w:bCs w:val="0"/>
          <w:sz w:val="32"/>
          <w:szCs w:val="44"/>
          <w:lang w:val="en-US" w:eastAsia="zh-CN"/>
        </w:rPr>
        <w:t>以2022年度国土变更调查成果为底图，依据2023年高分辨率遥感影像和最新的相关专题资料，结合实地调查等工作，在全国地级及以上城市（见附表1，其他城市、建制镇可参照执行，同步开展）组织开展城市国土空间监测工作，</w:t>
      </w:r>
      <w:r>
        <w:rPr>
          <w:rFonts w:hint="eastAsia" w:ascii="Times New Roman" w:hAnsi="Times New Roman" w:eastAsia="仿宋_GB2312" w:cs="方正小标宋简体"/>
          <w:b w:val="0"/>
          <w:bCs w:val="0"/>
          <w:sz w:val="32"/>
          <w:szCs w:val="44"/>
          <w:lang w:val="en" w:eastAsia="zh-CN"/>
        </w:rPr>
        <w:t>掌握城市建设总量、用地结构、基础设施和服务功能等情况，支撑城市建设用地细化、国土空间规划编制及实施监督、城市体检评估和用途管制等国土空间治理工作。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黑体" w:cs="黑体"/>
          <w:sz w:val="32"/>
          <w:szCs w:val="32"/>
          <w:lang w:val="en" w:eastAsia="zh-CN"/>
        </w:rPr>
      </w:pPr>
      <w:r>
        <w:rPr>
          <w:rFonts w:hint="eastAsia" w:ascii="Times New Roman" w:hAnsi="Times New Roman" w:eastAsia="黑体" w:cs="黑体"/>
          <w:sz w:val="32"/>
          <w:szCs w:val="32"/>
          <w:lang w:val="en" w:eastAsia="zh-CN"/>
        </w:rPr>
        <w:t>二、监测内容与范围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方正小标宋简体"/>
          <w:b w:val="0"/>
          <w:bCs w:val="0"/>
          <w:sz w:val="32"/>
          <w:szCs w:val="44"/>
          <w:lang w:val="en" w:eastAsia="zh-CN"/>
        </w:rPr>
      </w:pPr>
      <w:r>
        <w:rPr>
          <w:rFonts w:hint="eastAsia" w:ascii="Times New Roman" w:hAnsi="Times New Roman" w:eastAsia="楷体" w:cs="方正小标宋简体"/>
          <w:b w:val="0"/>
          <w:bCs w:val="0"/>
          <w:sz w:val="32"/>
          <w:szCs w:val="44"/>
          <w:lang w:val="en-US" w:eastAsia="zh-CN"/>
        </w:rPr>
        <w:t>（一）监测内容。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 w:eastAsia="zh-CN"/>
        </w:rPr>
      </w:pPr>
      <w:r>
        <w:rPr>
          <w:rFonts w:hint="eastAsia" w:ascii="Times New Roman" w:hAnsi="Times New Roman" w:eastAsia="仿宋_GB2312" w:cs="方正小标宋简体"/>
          <w:b w:val="0"/>
          <w:bCs w:val="0"/>
          <w:sz w:val="32"/>
          <w:szCs w:val="44"/>
          <w:lang w:val="en" w:eastAsia="zh-CN"/>
        </w:rPr>
        <w:t>监测工作以土地利用现状为依据，在变更调查成果地类基础上进一步细化地类，并确定监测要素的空间位置、占地范围、面积（长度）、相关属性等。主要包括以下监测要素：</w:t>
      </w:r>
    </w:p>
    <w:p>
      <w:pPr>
        <w:jc w:val="center"/>
        <w:rPr>
          <w:rFonts w:hint="eastAsia" w:ascii="Times New Roman" w:hAnsi="Times New Roman" w:eastAsia="方正小标宋_GBK" w:cs="方正小标宋_GBK"/>
          <w:sz w:val="36"/>
          <w:szCs w:val="36"/>
        </w:rPr>
      </w:pPr>
    </w:p>
    <w:p>
      <w:pPr>
        <w:jc w:val="center"/>
        <w:rPr>
          <w:rFonts w:hint="eastAsia" w:ascii="Times New Roman" w:hAnsi="Times New Roman" w:eastAsia="方正小标宋_GBK" w:cs="方正小标宋_GBK"/>
          <w:sz w:val="36"/>
          <w:szCs w:val="36"/>
        </w:rPr>
      </w:pPr>
    </w:p>
    <w:p>
      <w:pPr>
        <w:jc w:val="center"/>
        <w:rPr>
          <w:rFonts w:hint="eastAsia" w:ascii="Times New Roman" w:hAnsi="Times New Roman" w:eastAsia="方正小标宋_GBK" w:cs="方正小标宋_GBK"/>
          <w:sz w:val="36"/>
          <w:szCs w:val="36"/>
        </w:rPr>
      </w:pPr>
    </w:p>
    <w:p>
      <w:pPr>
        <w:jc w:val="center"/>
        <w:rPr>
          <w:rFonts w:hint="eastAsia" w:ascii="黑体" w:hAnsi="黑体" w:eastAsia="黑体" w:cs="黑体"/>
          <w:sz w:val="32"/>
          <w:szCs w:val="32"/>
          <w:lang w:eastAsia="zh-CN"/>
        </w:rPr>
      </w:pP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年城市国土空间监测</w:t>
      </w:r>
      <w:r>
        <w:rPr>
          <w:rFonts w:hint="eastAsia" w:ascii="黑体" w:hAnsi="黑体" w:eastAsia="黑体" w:cs="黑体"/>
          <w:sz w:val="32"/>
          <w:szCs w:val="32"/>
          <w:lang w:eastAsia="zh-CN"/>
        </w:rPr>
        <w:t>要素</w:t>
      </w:r>
    </w:p>
    <w:tbl>
      <w:tblPr>
        <w:tblStyle w:val="29"/>
        <w:tblW w:w="5291" w:type="pct"/>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5"/>
        <w:gridCol w:w="2331"/>
        <w:gridCol w:w="5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目标</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监测要素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住宅情况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商品房（地上）、保障性住房（地上）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就学教育情况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高等院校、中等职业学校、特殊教育学校、中小学、幼儿园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医院（</w:t>
            </w:r>
            <w:r>
              <w:rPr>
                <w:rFonts w:hint="default" w:ascii="仿宋_GB2312" w:hAnsi="仿宋_GB2312" w:eastAsia="仿宋_GB2312" w:cs="仿宋_GB2312"/>
                <w:i w:val="0"/>
                <w:color w:val="000000"/>
                <w:kern w:val="0"/>
                <w:sz w:val="24"/>
                <w:szCs w:val="24"/>
                <w:u w:val="none"/>
                <w:lang w:bidi="ar"/>
              </w:rPr>
              <w:t>含</w:t>
            </w:r>
            <w:r>
              <w:rPr>
                <w:rFonts w:hint="eastAsia" w:ascii="仿宋_GB2312" w:hAnsi="仿宋_GB2312" w:eastAsia="仿宋_GB2312" w:cs="仿宋_GB2312"/>
                <w:i w:val="0"/>
                <w:color w:val="000000"/>
                <w:kern w:val="0"/>
                <w:sz w:val="24"/>
                <w:szCs w:val="24"/>
                <w:u w:val="none"/>
                <w:lang w:val="en-US" w:eastAsia="zh-CN" w:bidi="ar"/>
              </w:rPr>
              <w:t>方舱医院）、社区卫生服务设施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社会福利情况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养老设施、儿童社会福利设施、残疾人福利设施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文体活动情况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文化艺术场馆、社区文化活动设施、体育场馆（</w:t>
            </w:r>
            <w:r>
              <w:rPr>
                <w:rFonts w:hint="default" w:ascii="仿宋_GB2312" w:hAnsi="仿宋_GB2312" w:eastAsia="仿宋_GB2312" w:cs="仿宋_GB2312"/>
                <w:i w:val="0"/>
                <w:color w:val="000000"/>
                <w:kern w:val="0"/>
                <w:sz w:val="24"/>
                <w:szCs w:val="24"/>
                <w:u w:val="none"/>
                <w:lang w:bidi="ar"/>
              </w:rPr>
              <w:t>含</w:t>
            </w:r>
            <w:r>
              <w:rPr>
                <w:rFonts w:hint="eastAsia" w:ascii="仿宋_GB2312" w:hAnsi="仿宋_GB2312" w:eastAsia="仿宋_GB2312" w:cs="仿宋_GB2312"/>
                <w:i w:val="0"/>
                <w:color w:val="000000"/>
                <w:kern w:val="0"/>
                <w:sz w:val="24"/>
                <w:szCs w:val="24"/>
                <w:u w:val="none"/>
                <w:lang w:val="en-US" w:eastAsia="zh-CN" w:bidi="ar"/>
              </w:rPr>
              <w:t>独立足球场）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高速公路服务区、轨道交通站点（地铁站）、对外交通场站、公共交通场站、地上公共停车场（停车楼）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公用设施情况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自来水厂、污水处理厂、垃圾集中处理设施、消防站、邮政局（所）、供热厂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 w:eastAsia="zh-CN" w:bidi="ar"/>
              </w:rPr>
            </w:pPr>
            <w:r>
              <w:rPr>
                <w:rFonts w:hint="default" w:ascii="仿宋_GB2312" w:hAnsi="仿宋_GB2312" w:eastAsia="仿宋_GB2312" w:cs="仿宋_GB2312"/>
                <w:i w:val="0"/>
                <w:color w:val="000000"/>
                <w:kern w:val="0"/>
                <w:sz w:val="24"/>
                <w:szCs w:val="24"/>
                <w:u w:val="none"/>
                <w:lang w:val="en" w:eastAsia="zh-CN" w:bidi="ar"/>
              </w:rPr>
              <w:t>8</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公园与绿地情况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公园、绿地、广场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 w:eastAsia="zh-CN" w:bidi="ar"/>
              </w:rPr>
            </w:pPr>
            <w:r>
              <w:rPr>
                <w:rFonts w:hint="default" w:ascii="仿宋_GB2312" w:hAnsi="仿宋_GB2312" w:eastAsia="仿宋_GB2312" w:cs="仿宋_GB2312"/>
                <w:i w:val="0"/>
                <w:color w:val="000000"/>
                <w:kern w:val="0"/>
                <w:sz w:val="24"/>
                <w:szCs w:val="24"/>
                <w:u w:val="none"/>
                <w:lang w:val="en" w:eastAsia="zh-CN" w:bidi="ar"/>
              </w:rPr>
              <w:t>9</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殡葬设施情况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殡葬设施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val="en" w:eastAsia="zh-CN" w:bidi="ar"/>
              </w:rPr>
              <w:t>0</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水利设施情况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水电站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val="en" w:eastAsia="zh-CN" w:bidi="ar"/>
              </w:rPr>
              <w:t>1</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城市安全韧性情况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城市内涝积水点、地上应急避难场所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val="en" w:eastAsia="zh-CN" w:bidi="ar"/>
              </w:rPr>
              <w:t>2</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室外滑雪场情况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室外滑雪场（含附属设施）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val="en" w:eastAsia="zh-CN" w:bidi="ar"/>
              </w:rPr>
              <w:t>3</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水域、交通网络情况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河湖（</w:t>
            </w:r>
            <w:r>
              <w:rPr>
                <w:rFonts w:hint="default" w:ascii="仿宋_GB2312" w:hAnsi="仿宋_GB2312" w:eastAsia="仿宋_GB2312" w:cs="仿宋_GB2312"/>
                <w:i w:val="0"/>
                <w:color w:val="000000"/>
                <w:kern w:val="0"/>
                <w:sz w:val="24"/>
                <w:szCs w:val="24"/>
                <w:u w:val="none"/>
                <w:lang w:bidi="ar"/>
              </w:rPr>
              <w:t>含</w:t>
            </w:r>
            <w:r>
              <w:rPr>
                <w:rFonts w:hint="eastAsia" w:ascii="仿宋_GB2312" w:hAnsi="仿宋_GB2312" w:eastAsia="仿宋_GB2312" w:cs="仿宋_GB2312"/>
                <w:i w:val="0"/>
                <w:color w:val="000000"/>
                <w:kern w:val="0"/>
                <w:sz w:val="24"/>
                <w:szCs w:val="24"/>
                <w:u w:val="none"/>
                <w:lang w:val="en-US" w:eastAsia="zh-CN" w:bidi="ar"/>
              </w:rPr>
              <w:t>大型水库）岸线、河渠结构线，铁路（含高速铁路）、公路（含高速公路）、城市道路、农村道路、匝道中心线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val="en" w:eastAsia="zh-CN" w:bidi="ar"/>
              </w:rPr>
              <w:t>4</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单体建筑的高度、占地面积、建筑总面积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val="en" w:eastAsia="zh-CN" w:bidi="ar"/>
              </w:rPr>
              <w:t>5</w:t>
            </w:r>
          </w:p>
        </w:tc>
        <w:tc>
          <w:tcPr>
            <w:tcW w:w="1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城市更新情况</w:t>
            </w:r>
          </w:p>
        </w:tc>
        <w:tc>
          <w:tcPr>
            <w:tcW w:w="33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新增城市更新改造用地</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方正小标宋简体"/>
          <w:b w:val="0"/>
          <w:bCs w:val="0"/>
          <w:sz w:val="32"/>
          <w:szCs w:val="44"/>
          <w:lang w:val="en-US" w:eastAsia="zh-CN"/>
        </w:rPr>
        <w:t>以上第一至第十项监测内容，</w:t>
      </w:r>
      <w:r>
        <w:rPr>
          <w:rFonts w:hint="eastAsia" w:ascii="Times New Roman" w:hAnsi="Times New Roman" w:eastAsia="仿宋_GB2312" w:cs="方正小标宋简体"/>
          <w:b w:val="0"/>
          <w:bCs w:val="0"/>
          <w:sz w:val="32"/>
          <w:szCs w:val="44"/>
          <w:lang w:val="en" w:eastAsia="zh-CN"/>
        </w:rPr>
        <w:t>在变更调查地</w:t>
      </w:r>
      <w:r>
        <w:rPr>
          <w:rFonts w:hint="default" w:ascii="Times New Roman" w:hAnsi="Times New Roman" w:eastAsia="仿宋_GB2312" w:cs="方正小标宋简体"/>
          <w:b w:val="0"/>
          <w:bCs w:val="0"/>
          <w:color w:val="000000"/>
          <w:sz w:val="32"/>
          <w:szCs w:val="44"/>
          <w:lang/>
        </w:rPr>
        <w:t>类</w:t>
      </w:r>
      <w:r>
        <w:rPr>
          <w:rFonts w:hint="eastAsia" w:ascii="Times New Roman" w:hAnsi="Times New Roman" w:eastAsia="仿宋_GB2312" w:cs="方正小标宋简体"/>
          <w:b w:val="0"/>
          <w:bCs w:val="0"/>
          <w:sz w:val="32"/>
          <w:szCs w:val="44"/>
          <w:lang w:val="en" w:eastAsia="zh-CN"/>
        </w:rPr>
        <w:t>二级类下，按监测要素细化确定三级地类，以监测要素名称命名，同时，确定监测要素的空间位置、占地范围、面积、相关属性等。第十</w:t>
      </w:r>
      <w:r>
        <w:rPr>
          <w:rFonts w:hint="eastAsia" w:ascii="Times New Roman" w:hAnsi="Times New Roman" w:eastAsia="仿宋_GB2312" w:cs="方正小标宋简体"/>
          <w:b w:val="0"/>
          <w:bCs w:val="0"/>
          <w:sz w:val="32"/>
          <w:szCs w:val="44"/>
          <w:lang w:val="en-US" w:eastAsia="zh-CN"/>
        </w:rPr>
        <w:t>一至第十五项</w:t>
      </w:r>
      <w:r>
        <w:rPr>
          <w:rFonts w:hint="eastAsia" w:ascii="Times New Roman" w:hAnsi="Times New Roman" w:eastAsia="仿宋_GB2312" w:cs="方正小标宋简体"/>
          <w:b w:val="0"/>
          <w:bCs w:val="0"/>
          <w:sz w:val="32"/>
          <w:szCs w:val="44"/>
          <w:lang w:val="en" w:eastAsia="zh-CN"/>
        </w:rPr>
        <w:t>确定监测要素的空间位置（范围）、面积（长度）、相关属性等（见附表</w:t>
      </w:r>
      <w:r>
        <w:rPr>
          <w:rFonts w:hint="eastAsia" w:ascii="Times New Roman" w:hAnsi="Times New Roman" w:eastAsia="仿宋_GB2312" w:cs="方正小标宋简体"/>
          <w:b w:val="0"/>
          <w:bCs w:val="0"/>
          <w:sz w:val="32"/>
          <w:szCs w:val="44"/>
          <w:lang w:val="en-US" w:eastAsia="zh-CN"/>
        </w:rPr>
        <w:t>2</w:t>
      </w:r>
      <w:r>
        <w:rPr>
          <w:rFonts w:hint="eastAsia" w:ascii="Times New Roman" w:hAnsi="Times New Roman" w:eastAsia="仿宋_GB2312" w:cs="方正小标宋简体"/>
          <w:b w:val="0"/>
          <w:bCs w:val="0"/>
          <w:sz w:val="32"/>
          <w:szCs w:val="44"/>
          <w:lang w:val="en"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rPr>
        <w:t>地可根据实际管理需要，进一步拓展监测内容，向国家提交成果时，按国家要求的监测内容进行提交。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方正小标宋简体"/>
          <w:b w:val="0"/>
          <w:bCs w:val="0"/>
          <w:sz w:val="32"/>
          <w:szCs w:val="44"/>
          <w:lang w:val="en-US" w:eastAsia="zh-CN"/>
        </w:rPr>
      </w:pPr>
      <w:r>
        <w:rPr>
          <w:rFonts w:hint="eastAsia" w:ascii="Times New Roman" w:hAnsi="Times New Roman" w:eastAsia="楷体" w:cs="方正小标宋简体"/>
          <w:b w:val="0"/>
          <w:bCs w:val="0"/>
          <w:sz w:val="32"/>
          <w:szCs w:val="44"/>
          <w:lang w:val="en-US" w:eastAsia="zh-CN"/>
        </w:rPr>
        <w:t>（二）监测范围。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US" w:eastAsia="zh-CN"/>
        </w:rPr>
      </w:pPr>
      <w:r>
        <w:rPr>
          <w:rFonts w:hint="eastAsia" w:ascii="Times New Roman" w:hAnsi="Times New Roman" w:eastAsia="仿宋_GB2312" w:cs="Times New Roman"/>
          <w:sz w:val="32"/>
          <w:szCs w:val="32"/>
        </w:rPr>
        <w:t>监测范围根据需要分为全域范围和城区</w:t>
      </w:r>
      <w:r>
        <w:rPr>
          <w:rFonts w:hint="eastAsia"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rPr>
        <w:t>范围两</w:t>
      </w:r>
      <w:r>
        <w:rPr>
          <w:rFonts w:hint="eastAsia" w:ascii="Times New Roman" w:hAnsi="Times New Roman" w:eastAsia="仿宋_GB2312" w:cs="Times New Roman"/>
          <w:sz w:val="32"/>
          <w:szCs w:val="32"/>
          <w:lang w:eastAsia="zh-CN"/>
        </w:rPr>
        <w:t>类</w:t>
      </w:r>
      <w:r>
        <w:rPr>
          <w:rFonts w:hint="eastAsia" w:ascii="Times New Roman" w:hAnsi="Times New Roman" w:eastAsia="仿宋_GB2312" w:cs="Times New Roman"/>
          <w:sz w:val="32"/>
          <w:szCs w:val="32"/>
        </w:rPr>
        <w:t>。全域范围指城市行政区域</w:t>
      </w:r>
      <w:r>
        <w:rPr>
          <w:rFonts w:hint="eastAsia" w:ascii="Times New Roman" w:hAnsi="Times New Roman" w:eastAsia="仿宋_GB2312" w:cs="Times New Roman"/>
          <w:sz w:val="32"/>
          <w:szCs w:val="32"/>
          <w:lang w:eastAsia="zh-CN"/>
        </w:rPr>
        <w:t>为监测</w:t>
      </w:r>
      <w:r>
        <w:rPr>
          <w:rFonts w:hint="eastAsia" w:ascii="Times New Roman" w:hAnsi="Times New Roman" w:eastAsia="仿宋_GB2312" w:cs="Times New Roman"/>
          <w:sz w:val="32"/>
          <w:szCs w:val="32"/>
        </w:rPr>
        <w:t>范围。</w:t>
      </w:r>
      <w:r>
        <w:rPr>
          <w:rFonts w:hint="eastAsia" w:ascii="Times New Roman" w:hAnsi="Times New Roman" w:eastAsia="仿宋_GB2312" w:cs="仿宋_GB2312"/>
          <w:sz w:val="32"/>
          <w:szCs w:val="32"/>
          <w:lang w:val="en-US" w:eastAsia="zh-CN"/>
        </w:rPr>
        <w:t>城区工作范围指按照《城区范围确定规程》（以下简称《规程》）划定的城区范围和2022年度国土变更调查确定的城市（201，不含县级市和县）范围的并集</w:t>
      </w:r>
      <w:r>
        <w:rPr>
          <w:rFonts w:hint="eastAsia" w:ascii="Times New Roman" w:hAnsi="Times New Roman" w:eastAsia="仿宋_GB2312" w:cs="Times New Roman"/>
          <w:sz w:val="32"/>
          <w:szCs w:val="32"/>
          <w:lang w:val="en-US" w:eastAsia="zh-CN"/>
        </w:rPr>
        <w:t>。依据《国土空间规划城市体检评估规程》进行“城区”相关统计分析工作时，仍按照《规程》执行。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 w:eastAsia="zh-CN"/>
        </w:rPr>
      </w:pPr>
      <w:r>
        <w:rPr>
          <w:rFonts w:hint="eastAsia" w:ascii="Times New Roman" w:hAnsi="Times New Roman" w:eastAsia="仿宋_GB2312" w:cs="方正小标宋简体"/>
          <w:b w:val="0"/>
          <w:bCs w:val="0"/>
          <w:sz w:val="32"/>
          <w:szCs w:val="44"/>
          <w:lang w:val="en-US" w:eastAsia="zh-CN"/>
        </w:rPr>
        <w:t>全域范围采集的内容包括：</w:t>
      </w:r>
      <w:r>
        <w:rPr>
          <w:rFonts w:hint="eastAsia" w:ascii="Times New Roman" w:hAnsi="Times New Roman" w:eastAsia="仿宋_GB2312" w:cs="方正小标宋简体"/>
          <w:b w:val="0"/>
          <w:bCs w:val="0"/>
          <w:sz w:val="32"/>
          <w:szCs w:val="44"/>
          <w:lang w:val="en" w:eastAsia="zh-CN"/>
        </w:rPr>
        <w:t>高等院校、中等职业学校、特殊教育学校，方舱医院</w:t>
      </w:r>
      <w:r>
        <w:rPr>
          <w:rFonts w:hint="eastAsia" w:ascii="Times New Roman" w:hAnsi="Times New Roman" w:eastAsia="仿宋_GB2312" w:cs="方正小标宋简体"/>
          <w:b w:val="0"/>
          <w:bCs w:val="0"/>
          <w:sz w:val="32"/>
          <w:szCs w:val="44"/>
          <w:lang w:val="en-US" w:eastAsia="zh-CN"/>
        </w:rPr>
        <w:t>，</w:t>
      </w:r>
      <w:r>
        <w:rPr>
          <w:rFonts w:hint="eastAsia" w:ascii="Times New Roman" w:hAnsi="Times New Roman" w:eastAsia="仿宋_GB2312" w:cs="方正小标宋简体"/>
          <w:b w:val="0"/>
          <w:bCs w:val="0"/>
          <w:sz w:val="32"/>
          <w:szCs w:val="44"/>
          <w:lang w:val="en" w:eastAsia="zh-CN"/>
        </w:rPr>
        <w:t>自来水厂、污水处理厂、供热厂，殡葬设施，</w:t>
      </w:r>
      <w:r>
        <w:rPr>
          <w:rFonts w:hint="eastAsia" w:ascii="Times New Roman" w:hAnsi="Times New Roman" w:eastAsia="仿宋_GB2312" w:cs="方正小标宋简体"/>
          <w:b w:val="0"/>
          <w:bCs w:val="0"/>
          <w:sz w:val="32"/>
          <w:szCs w:val="44"/>
          <w:lang w:val="en-US" w:eastAsia="zh-CN"/>
        </w:rPr>
        <w:t>轨道交通站点（地铁站）、高速公路服务区，</w:t>
      </w:r>
      <w:r>
        <w:rPr>
          <w:rFonts w:hint="eastAsia" w:ascii="Times New Roman" w:hAnsi="Times New Roman" w:eastAsia="仿宋_GB2312" w:cs="方正小标宋简体"/>
          <w:b w:val="0"/>
          <w:bCs w:val="0"/>
          <w:sz w:val="32"/>
          <w:szCs w:val="44"/>
          <w:lang w:val="en" w:eastAsia="zh-CN"/>
        </w:rPr>
        <w:t>水电站，</w:t>
      </w:r>
      <w:r>
        <w:rPr>
          <w:rFonts w:hint="eastAsia" w:ascii="Times New Roman" w:hAnsi="Times New Roman" w:eastAsia="仿宋_GB2312" w:cs="Times New Roman"/>
          <w:sz w:val="32"/>
          <w:szCs w:val="32"/>
        </w:rPr>
        <w:t>河湖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rPr>
        <w:t>含</w:t>
      </w:r>
      <w:r>
        <w:rPr>
          <w:rFonts w:hint="eastAsia" w:ascii="Times New Roman" w:hAnsi="Times New Roman" w:eastAsia="仿宋_GB2312" w:cs="Times New Roman"/>
          <w:sz w:val="32"/>
          <w:szCs w:val="32"/>
          <w:lang w:eastAsia="zh-CN"/>
        </w:rPr>
        <w:t>大型水库）</w:t>
      </w:r>
      <w:r>
        <w:rPr>
          <w:rFonts w:hint="eastAsia" w:ascii="Times New Roman" w:hAnsi="Times New Roman" w:eastAsia="仿宋_GB2312" w:cs="Times New Roman"/>
          <w:sz w:val="32"/>
          <w:szCs w:val="32"/>
        </w:rPr>
        <w:t>岸线</w:t>
      </w:r>
      <w:r>
        <w:rPr>
          <w:rFonts w:hint="eastAsia" w:ascii="Times New Roman" w:hAnsi="Times New Roman" w:eastAsia="仿宋_GB2312" w:cs="Times New Roman"/>
          <w:sz w:val="32"/>
          <w:szCs w:val="32"/>
          <w:lang w:eastAsia="zh-CN"/>
        </w:rPr>
        <w:t>、河渠结构线，</w:t>
      </w:r>
      <w:r>
        <w:rPr>
          <w:rFonts w:hint="eastAsia" w:ascii="Times New Roman" w:hAnsi="Times New Roman" w:eastAsia="仿宋_GB2312" w:cs="方正小标宋简体"/>
          <w:b w:val="0"/>
          <w:bCs w:val="0"/>
          <w:sz w:val="32"/>
          <w:szCs w:val="44"/>
          <w:lang w:val="en-US" w:eastAsia="zh-CN"/>
        </w:rPr>
        <w:t>铁路（含高速铁路）、公路（含高速公路）、城市道路、农村道路、匝道中心线，室外</w:t>
      </w:r>
      <w:r>
        <w:rPr>
          <w:rFonts w:hint="eastAsia" w:ascii="Times New Roman" w:hAnsi="Times New Roman" w:eastAsia="仿宋_GB2312" w:cs="方正小标宋简体"/>
          <w:b w:val="0"/>
          <w:bCs w:val="0"/>
          <w:sz w:val="32"/>
          <w:szCs w:val="44"/>
          <w:lang w:val="en" w:eastAsia="zh-CN"/>
        </w:rPr>
        <w:t>滑雪场（含附属设施）。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方正小标宋简体"/>
          <w:b w:val="0"/>
          <w:bCs w:val="0"/>
          <w:sz w:val="32"/>
          <w:szCs w:val="44"/>
          <w:lang w:val="en" w:eastAsia="zh-CN"/>
        </w:rPr>
        <w:t>其余监测要素在城区工作范围内采集。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方正小标宋简体"/>
          <w:b w:val="0"/>
          <w:bCs w:val="0"/>
          <w:sz w:val="32"/>
          <w:szCs w:val="44"/>
          <w:lang w:val="en-US" w:eastAsia="zh-CN"/>
        </w:rPr>
      </w:pPr>
      <w:r>
        <w:rPr>
          <w:rFonts w:hint="eastAsia" w:ascii="Times New Roman" w:hAnsi="Times New Roman" w:eastAsia="黑体" w:cs="黑体"/>
          <w:sz w:val="32"/>
          <w:szCs w:val="32"/>
          <w:lang w:val="en-US" w:eastAsia="zh-CN"/>
        </w:rPr>
        <w:t>三、任务安排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方正小标宋简体"/>
          <w:b w:val="0"/>
          <w:bCs w:val="0"/>
          <w:sz w:val="32"/>
          <w:szCs w:val="44"/>
          <w:lang w:val="en-US" w:eastAsia="zh-CN"/>
        </w:rPr>
      </w:pPr>
      <w:r>
        <w:rPr>
          <w:rFonts w:hint="eastAsia" w:ascii="Times New Roman" w:hAnsi="Times New Roman" w:eastAsia="仿宋_GB2312" w:cs="方正小标宋简体"/>
          <w:b w:val="0"/>
          <w:bCs w:val="0"/>
          <w:sz w:val="32"/>
          <w:szCs w:val="44"/>
          <w:lang w:val="en-US" w:eastAsia="zh-CN"/>
        </w:rPr>
        <w:t>2022年已经开展城市国土空间监测工作的城市，依据2022年度国土变更调查成果、2023年高分辨率遥感影像和最新的相关专题资料，结合实地调查，将2022年城市国土空间监测数据中相关监测要素的现势性更新到2023年。同时，按照本方案要求，采集增加的监测要素</w:t>
      </w:r>
      <w:r>
        <w:rPr>
          <w:rFonts w:hint="eastAsia" w:ascii="Times New Roman" w:hAnsi="Times New Roman" w:eastAsia="仿宋_GB2312" w:cs="方正小标宋简体"/>
          <w:b w:val="0"/>
          <w:bCs w:val="0"/>
          <w:sz w:val="32"/>
          <w:szCs w:val="44"/>
          <w:lang w:val="en" w:eastAsia="zh-CN"/>
        </w:rPr>
        <w:t>，</w:t>
      </w:r>
      <w:r>
        <w:rPr>
          <w:rFonts w:hint="eastAsia" w:ascii="Times New Roman" w:hAnsi="Times New Roman" w:eastAsia="仿宋_GB2312" w:cs="方正小标宋简体"/>
          <w:b w:val="0"/>
          <w:bCs w:val="0"/>
          <w:sz w:val="32"/>
          <w:szCs w:val="44"/>
          <w:lang w:val="en-US" w:eastAsia="zh-CN"/>
        </w:rPr>
        <w:t>核实完善国家下发的滑雪场范围、相关属性等信息。城市商品房、保障性住房、单体建筑采集工作于2024年底前完成。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US" w:eastAsia="zh-CN"/>
        </w:rPr>
      </w:pPr>
      <w:r>
        <w:rPr>
          <w:rFonts w:hint="eastAsia" w:ascii="Times New Roman" w:hAnsi="Times New Roman" w:eastAsia="仿宋_GB2312" w:cs="方正小标宋简体"/>
          <w:b w:val="0"/>
          <w:bCs w:val="0"/>
          <w:sz w:val="32"/>
          <w:szCs w:val="44"/>
          <w:lang w:val="en-US" w:eastAsia="zh-CN"/>
        </w:rPr>
        <w:t>2022年未开展城市国土空间监测工作的城市，依据2022年度国土变更调查成果、2023年高分辨率遥感影像和最新的相关专题资料，结合实地调查，采集本方案要求的监测要素</w:t>
      </w:r>
      <w:r>
        <w:rPr>
          <w:rFonts w:hint="eastAsia" w:ascii="Times New Roman" w:hAnsi="Times New Roman" w:eastAsia="仿宋_GB2312" w:cs="方正小标宋简体"/>
          <w:b w:val="0"/>
          <w:bCs w:val="0"/>
          <w:sz w:val="32"/>
          <w:szCs w:val="44"/>
          <w:lang w:val="en" w:eastAsia="zh-CN"/>
        </w:rPr>
        <w:t>，同时，</w:t>
      </w:r>
      <w:r>
        <w:rPr>
          <w:rFonts w:hint="eastAsia" w:ascii="Times New Roman" w:hAnsi="Times New Roman" w:eastAsia="仿宋_GB2312" w:cs="方正小标宋简体"/>
          <w:b w:val="0"/>
          <w:bCs w:val="0"/>
          <w:sz w:val="32"/>
          <w:szCs w:val="44"/>
          <w:lang w:val="en-US" w:eastAsia="zh-CN"/>
        </w:rPr>
        <w:t>核实补充国家下发的滑雪场范围、相关属性等信息。水域网络、交通网络在2020年地理国情监测水网和路网数据基础上更新采集相关监测内容。城市商品房、保障性住房、单体建筑采集工作于2025年底前完成。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四、工作内容与要求</w:t>
      </w:r>
    </w:p>
    <w:p>
      <w:pPr>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9"/>
        <w:rPr>
          <w:rFonts w:ascii="Times New Roman" w:hAnsi="Times New Roman"/>
          <w:b w:val="0"/>
          <w:bCs w:val="0"/>
        </w:rPr>
      </w:pPr>
      <w:r>
        <w:rPr>
          <w:rFonts w:hint="eastAsia" w:ascii="Times New Roman" w:hAnsi="Times New Roman" w:eastAsia="楷体_GB2312" w:cs="Times New Roman"/>
          <w:sz w:val="32"/>
          <w:szCs w:val="32"/>
          <w:lang w:eastAsia="zh-CN"/>
        </w:rPr>
        <w:t>（一）遥感影像收集与正射处理。</w:t>
      </w:r>
    </w:p>
    <w:p>
      <w:pPr>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收集</w:t>
      </w:r>
      <w:r>
        <w:rPr>
          <w:rFonts w:hint="eastAsia" w:ascii="Times New Roman" w:hAnsi="Times New Roman" w:eastAsia="仿宋_GB2312" w:cs="Times New Roman"/>
          <w:sz w:val="32"/>
          <w:szCs w:val="32"/>
          <w:lang w:eastAsia="zh-CN"/>
        </w:rPr>
        <w:t>时相为</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1米或者更高分辨率的</w:t>
      </w:r>
      <w:r>
        <w:rPr>
          <w:rFonts w:hint="eastAsia" w:ascii="Times New Roman" w:hAnsi="Times New Roman" w:eastAsia="仿宋_GB2312" w:cs="Times New Roman"/>
          <w:sz w:val="32"/>
          <w:szCs w:val="32"/>
          <w:lang w:val="en-US" w:eastAsia="zh-CN"/>
        </w:rPr>
        <w:t>卫星</w:t>
      </w:r>
      <w:r>
        <w:rPr>
          <w:rFonts w:hint="eastAsia" w:ascii="Times New Roman" w:hAnsi="Times New Roman" w:eastAsia="仿宋_GB2312" w:cs="Times New Roman"/>
          <w:sz w:val="32"/>
          <w:szCs w:val="32"/>
        </w:rPr>
        <w:t>遥感影像、</w:t>
      </w:r>
      <w:r>
        <w:rPr>
          <w:rFonts w:hint="eastAsia" w:ascii="Times New Roman" w:hAnsi="Times New Roman" w:eastAsia="仿宋_GB2312" w:cs="Times New Roman"/>
          <w:sz w:val="32"/>
          <w:szCs w:val="32"/>
          <w:lang w:val="en-US" w:eastAsia="zh-CN"/>
        </w:rPr>
        <w:t>无人机遥感影像、</w:t>
      </w:r>
      <w:r>
        <w:rPr>
          <w:rFonts w:hint="eastAsia" w:ascii="Times New Roman" w:hAnsi="Times New Roman" w:eastAsia="仿宋_GB2312" w:cs="Times New Roman"/>
          <w:sz w:val="32"/>
          <w:szCs w:val="32"/>
        </w:rPr>
        <w:t>倾斜摄影影像等，综合分析选择时相较新、分辨率更优的影像制作正射影像图，用于城市国土空间监测。国家统一提供正射纠正后的</w:t>
      </w:r>
      <w:r>
        <w:rPr>
          <w:rFonts w:hint="eastAsia" w:ascii="Times New Roman" w:hAnsi="Times New Roman" w:eastAsia="仿宋_GB2312" w:cs="Times New Roman"/>
          <w:sz w:val="32"/>
          <w:szCs w:val="32"/>
          <w:lang w:val="en-US" w:eastAsia="zh-CN"/>
        </w:rPr>
        <w:t>1米或2米分辨率，时相为</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rPr>
        <w:t>卫星遥感影像数据。</w:t>
      </w:r>
    </w:p>
    <w:p>
      <w:pPr>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9"/>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（二）资料收集与整理。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收集涉及民政、统计、应急、教育、环保、住建、交通、水利、卫生健康、市场监管、体育等行业</w:t>
      </w:r>
      <w:r>
        <w:rPr>
          <w:rFonts w:hint="eastAsia" w:ascii="Times New Roman" w:hAnsi="Times New Roman" w:eastAsia="仿宋_GB2312" w:cs="Times New Roman"/>
          <w:sz w:val="32"/>
          <w:szCs w:val="32"/>
          <w:lang w:eastAsia="zh-CN"/>
        </w:rPr>
        <w:t>，现势性为</w:t>
      </w:r>
      <w:r>
        <w:rPr>
          <w:rFonts w:hint="eastAsia" w:ascii="Times New Roman" w:hAnsi="Times New Roman" w:eastAsia="仿宋_GB2312" w:cs="Times New Roman"/>
          <w:sz w:val="32"/>
          <w:szCs w:val="32"/>
          <w:lang w:val="en-US" w:eastAsia="zh-CN"/>
        </w:rPr>
        <w:t>2022年1月1日之后的</w:t>
      </w:r>
      <w:r>
        <w:rPr>
          <w:rFonts w:hint="eastAsia" w:ascii="Times New Roman" w:hAnsi="Times New Roman" w:eastAsia="仿宋_GB2312" w:cs="Times New Roman"/>
          <w:sz w:val="32"/>
          <w:szCs w:val="32"/>
        </w:rPr>
        <w:t>专题资料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POI数据，结合地籍调查和不动产登记、城市大比例尺基础测绘</w:t>
      </w:r>
      <w:r>
        <w:rPr>
          <w:rFonts w:hint="eastAsia" w:ascii="Times New Roman" w:hAnsi="Times New Roman" w:eastAsia="仿宋_GB2312" w:cs="Times New Roman"/>
          <w:sz w:val="32"/>
          <w:szCs w:val="32"/>
          <w:lang w:eastAsia="zh-CN"/>
        </w:rPr>
        <w:t>、数字城市、智慧城市</w:t>
      </w:r>
      <w:r>
        <w:rPr>
          <w:rFonts w:hint="eastAsia" w:ascii="Times New Roman" w:hAnsi="Times New Roman" w:eastAsia="仿宋_GB2312" w:cs="Times New Roman"/>
          <w:sz w:val="32"/>
          <w:szCs w:val="32"/>
        </w:rPr>
        <w:t>等成果，为确定各类监测对象空间位置</w:t>
      </w:r>
      <w:r>
        <w:rPr>
          <w:rFonts w:hint="eastAsia" w:ascii="Times New Roman" w:hAnsi="Times New Roman" w:eastAsia="仿宋_GB2312" w:cs="Times New Roman"/>
          <w:sz w:val="32"/>
          <w:szCs w:val="32"/>
          <w:lang w:eastAsia="zh-CN"/>
        </w:rPr>
        <w:t>、占地</w:t>
      </w:r>
      <w:r>
        <w:rPr>
          <w:rFonts w:hint="eastAsia" w:ascii="Times New Roman" w:hAnsi="Times New Roman" w:eastAsia="仿宋_GB2312" w:cs="Times New Roman"/>
          <w:sz w:val="32"/>
          <w:szCs w:val="32"/>
        </w:rPr>
        <w:t>范围</w:t>
      </w:r>
      <w:r>
        <w:rPr>
          <w:rFonts w:hint="eastAsia" w:ascii="Times New Roman" w:hAnsi="Times New Roman" w:eastAsia="仿宋_GB2312" w:cs="Times New Roman"/>
          <w:sz w:val="32"/>
          <w:szCs w:val="32"/>
          <w:lang w:eastAsia="zh-CN"/>
        </w:rPr>
        <w:t>和属性</w:t>
      </w:r>
      <w:r>
        <w:rPr>
          <w:rFonts w:hint="eastAsia" w:ascii="Times New Roman" w:hAnsi="Times New Roman" w:eastAsia="仿宋_GB2312" w:cs="Times New Roman"/>
          <w:sz w:val="32"/>
          <w:szCs w:val="32"/>
        </w:rPr>
        <w:t>做参考和指引。</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（三）监测内容采集。</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仿宋_GB2312" w:cs="楷体_GB2312"/>
          <w:sz w:val="32"/>
          <w:szCs w:val="32"/>
          <w:lang w:val="en-US" w:eastAsia="zh-CN"/>
        </w:rPr>
      </w:pPr>
      <w:r>
        <w:rPr>
          <w:rFonts w:hint="eastAsia" w:ascii="Times New Roman" w:hAnsi="Times New Roman" w:eastAsia="仿宋_GB2312" w:cs="Times New Roman"/>
          <w:sz w:val="32"/>
          <w:szCs w:val="32"/>
        </w:rPr>
        <w:t>以202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年度国土变更调查成果为底图，以收集的资料为指引，</w:t>
      </w:r>
      <w:r>
        <w:rPr>
          <w:rFonts w:hint="default" w:ascii="Times New Roman" w:hAnsi="Times New Roman" w:eastAsia="仿宋_GB2312" w:cs="Times New Roman"/>
          <w:color w:val="000000"/>
          <w:sz w:val="32"/>
          <w:szCs w:val="32"/>
        </w:rPr>
        <w:t>套</w:t>
      </w:r>
      <w:r>
        <w:rPr>
          <w:rFonts w:hint="eastAsia" w:ascii="Times New Roman" w:hAnsi="Times New Roman" w:eastAsia="仿宋_GB2312" w:cs="Times New Roman"/>
          <w:sz w:val="32"/>
          <w:szCs w:val="32"/>
        </w:rPr>
        <w:t>合最新遥感影像，利用多种技术手段，结合实地调查，确定</w:t>
      </w:r>
      <w:r>
        <w:rPr>
          <w:rFonts w:hint="eastAsia" w:ascii="Times New Roman" w:hAnsi="Times New Roman" w:eastAsia="仿宋_GB2312" w:cs="Times New Roman"/>
          <w:sz w:val="32"/>
          <w:szCs w:val="32"/>
          <w:lang w:eastAsia="zh-CN"/>
        </w:rPr>
        <w:t>相关</w:t>
      </w:r>
      <w:r>
        <w:rPr>
          <w:rFonts w:hint="eastAsia" w:ascii="Times New Roman" w:hAnsi="Times New Roman" w:eastAsia="仿宋_GB2312" w:cs="Times New Roman"/>
          <w:sz w:val="32"/>
          <w:szCs w:val="32"/>
        </w:rPr>
        <w:t>监测</w:t>
      </w:r>
      <w:r>
        <w:rPr>
          <w:rFonts w:hint="eastAsia" w:ascii="Times New Roman" w:hAnsi="Times New Roman" w:eastAsia="仿宋_GB2312" w:cs="Times New Roman"/>
          <w:sz w:val="32"/>
          <w:szCs w:val="32"/>
          <w:lang w:eastAsia="zh-CN"/>
        </w:rPr>
        <w:t>内容</w:t>
      </w:r>
      <w:r>
        <w:rPr>
          <w:rFonts w:hint="eastAsia" w:ascii="Times New Roman" w:hAnsi="Times New Roman" w:eastAsia="仿宋_GB2312" w:cs="Times New Roman"/>
          <w:sz w:val="32"/>
          <w:szCs w:val="32"/>
        </w:rPr>
        <w:t>的位置、</w:t>
      </w:r>
      <w:r>
        <w:rPr>
          <w:rFonts w:hint="eastAsia" w:ascii="Times New Roman" w:hAnsi="Times New Roman" w:eastAsia="仿宋_GB2312" w:cs="Times New Roman"/>
          <w:sz w:val="32"/>
          <w:szCs w:val="32"/>
          <w:lang w:eastAsia="zh-CN"/>
        </w:rPr>
        <w:t>占地</w:t>
      </w:r>
      <w:r>
        <w:rPr>
          <w:rFonts w:hint="eastAsia" w:ascii="Times New Roman" w:hAnsi="Times New Roman" w:eastAsia="仿宋_GB2312" w:cs="Times New Roman"/>
          <w:sz w:val="32"/>
          <w:szCs w:val="32"/>
        </w:rPr>
        <w:t>范围和</w:t>
      </w:r>
      <w:r>
        <w:rPr>
          <w:rFonts w:hint="eastAsia" w:ascii="Times New Roman" w:hAnsi="Times New Roman" w:eastAsia="仿宋_GB2312" w:cs="Times New Roman"/>
          <w:sz w:val="32"/>
          <w:szCs w:val="32"/>
          <w:lang w:eastAsia="zh-CN"/>
        </w:rPr>
        <w:t>相关</w:t>
      </w:r>
      <w:r>
        <w:rPr>
          <w:rFonts w:hint="eastAsia" w:ascii="Times New Roman" w:hAnsi="Times New Roman" w:eastAsia="仿宋_GB2312" w:cs="Times New Roman"/>
          <w:sz w:val="32"/>
          <w:szCs w:val="32"/>
        </w:rPr>
        <w:t>属性</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具体要求如下：</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仿宋_GB2312" w:cs="方正小标宋简体"/>
          <w:b w:val="0"/>
          <w:bCs w:val="0"/>
          <w:sz w:val="32"/>
          <w:szCs w:val="44"/>
          <w:lang w:val="en-US" w:eastAsia="zh-CN"/>
        </w:rPr>
      </w:pPr>
      <w:r>
        <w:rPr>
          <w:rFonts w:hint="eastAsia" w:ascii="Times New Roman" w:hAnsi="Times New Roman" w:eastAsia="仿宋_GB2312" w:cs="Times New Roman"/>
          <w:b w:val="0"/>
          <w:bCs w:val="0"/>
          <w:sz w:val="32"/>
          <w:szCs w:val="32"/>
          <w:lang w:val="en-US" w:eastAsia="zh-CN"/>
        </w:rPr>
        <w:t>一是对于有独立用地的</w:t>
      </w:r>
      <w:r>
        <w:rPr>
          <w:rFonts w:hint="eastAsia" w:ascii="Times New Roman" w:hAnsi="Times New Roman" w:eastAsia="仿宋_GB2312" w:cs="Times New Roman"/>
          <w:sz w:val="32"/>
          <w:szCs w:val="32"/>
          <w:lang w:val="en-US" w:eastAsia="zh-CN"/>
        </w:rPr>
        <w:t>监测要素，监测时实地与2022年度国土变更调查成果</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color w:val="000000"/>
          <w:sz w:val="32"/>
          <w:szCs w:val="32"/>
          <w:lang/>
        </w:rPr>
        <w:t>类</w:t>
      </w:r>
      <w:r>
        <w:rPr>
          <w:rFonts w:hint="eastAsia" w:ascii="Times New Roman" w:hAnsi="Times New Roman" w:eastAsia="仿宋_GB2312" w:cs="Times New Roman"/>
          <w:sz w:val="32"/>
          <w:szCs w:val="32"/>
          <w:lang w:eastAsia="zh-CN"/>
        </w:rPr>
        <w:t>二级类一致的，在变更调查成果底图上进行细化采集，矢量化相关位置和范围，并标注相关属性；监测时</w:t>
      </w:r>
      <w:r>
        <w:rPr>
          <w:rFonts w:hint="eastAsia" w:ascii="Times New Roman" w:hAnsi="Times New Roman" w:eastAsia="仿宋_GB2312" w:cs="Times New Roman"/>
          <w:sz w:val="32"/>
          <w:szCs w:val="32"/>
          <w:lang w:val="en-US" w:eastAsia="zh-CN"/>
        </w:rPr>
        <w:t>实地与2022年度国土变更调查成果</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color w:val="000000"/>
          <w:sz w:val="32"/>
          <w:szCs w:val="32"/>
          <w:lang/>
        </w:rPr>
        <w:t>类</w:t>
      </w:r>
      <w:r>
        <w:rPr>
          <w:rFonts w:hint="eastAsia" w:ascii="Times New Roman" w:hAnsi="Times New Roman" w:eastAsia="仿宋_GB2312" w:cs="Times New Roman"/>
          <w:sz w:val="32"/>
          <w:szCs w:val="32"/>
          <w:lang w:eastAsia="zh-CN"/>
        </w:rPr>
        <w:t>二级类不一致的，在单独图层上进行采集，矢量化相关位置和范围，并标注相关属性，同时，按照国土</w:t>
      </w:r>
      <w:r>
        <w:rPr>
          <w:rFonts w:hint="eastAsia" w:ascii="Times New Roman" w:hAnsi="Times New Roman" w:eastAsia="仿宋_GB2312" w:cs="方正小标宋简体"/>
          <w:b w:val="0"/>
          <w:bCs w:val="0"/>
          <w:sz w:val="32"/>
          <w:szCs w:val="44"/>
          <w:lang w:val="en-US" w:eastAsia="zh-CN"/>
        </w:rPr>
        <w:t>变更调查外业举证相关要求进行举证。</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对于没有独立用地的监测</w:t>
      </w:r>
      <w:r>
        <w:rPr>
          <w:rFonts w:hint="eastAsia" w:ascii="仿宋_GB2312" w:hAnsi="仿宋_GB2312" w:eastAsia="仿宋_GB2312" w:cs="仿宋_GB2312"/>
          <w:sz w:val="32"/>
          <w:szCs w:val="32"/>
          <w:lang w:eastAsia="zh-CN"/>
        </w:rPr>
        <w:t>要素</w:t>
      </w:r>
      <w:r>
        <w:rPr>
          <w:rFonts w:hint="eastAsia" w:ascii="仿宋_GB2312" w:hAnsi="仿宋_GB2312" w:eastAsia="仿宋_GB2312" w:cs="仿宋_GB2312"/>
          <w:sz w:val="32"/>
          <w:szCs w:val="32"/>
        </w:rPr>
        <w:t>，以单独图层表示其矢量位置</w:t>
      </w:r>
      <w:r>
        <w:rPr>
          <w:rFonts w:hint="eastAsia" w:ascii="仿宋_GB2312" w:hAnsi="仿宋_GB2312" w:eastAsia="仿宋_GB2312" w:cs="仿宋_GB2312"/>
          <w:sz w:val="32"/>
          <w:szCs w:val="32"/>
          <w:lang w:eastAsia="zh-CN"/>
        </w:rPr>
        <w:t>，并标注相关属性</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对于相关部门权威资料可以表明相关属性的，可以直接使用；对于无权威资料或相关资料不能表明相关属性的，要结合外业实地调查确定相关属性。</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四是对于监测时实地原有监测要素改变为不需要监测的要素，对其范围进行标注，以单独图层表示其矢量位置。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US" w:eastAsia="zh-CN"/>
        </w:rPr>
      </w:pPr>
      <w:r>
        <w:rPr>
          <w:rFonts w:hint="eastAsia" w:ascii="仿宋_GB2312" w:hAnsi="仿宋_GB2312" w:eastAsia="仿宋_GB2312" w:cs="仿宋_GB2312"/>
          <w:b w:val="0"/>
          <w:bCs w:val="0"/>
          <w:sz w:val="32"/>
          <w:szCs w:val="44"/>
          <w:lang w:val="en-US" w:eastAsia="zh-CN"/>
        </w:rPr>
        <w:t>五是水域网络、交通网络只更新河湖（</w:t>
      </w:r>
      <w:r>
        <w:rPr>
          <w:rFonts w:hint="default" w:ascii="仿宋_GB2312" w:hAnsi="仿宋_GB2312" w:eastAsia="仿宋_GB2312" w:cs="仿宋_GB2312"/>
          <w:b w:val="0"/>
          <w:bCs w:val="0"/>
          <w:color w:val="000000"/>
          <w:sz w:val="32"/>
          <w:szCs w:val="44"/>
          <w:lang/>
        </w:rPr>
        <w:t>含</w:t>
      </w:r>
      <w:r>
        <w:rPr>
          <w:rFonts w:hint="eastAsia" w:ascii="仿宋_GB2312" w:hAnsi="仿宋_GB2312" w:eastAsia="仿宋_GB2312" w:cs="仿宋_GB2312"/>
          <w:b w:val="0"/>
          <w:bCs w:val="0"/>
          <w:sz w:val="32"/>
          <w:szCs w:val="44"/>
          <w:lang w:val="en-US" w:eastAsia="zh-CN"/>
        </w:rPr>
        <w:t>大型水库）岸线、河渠结构线，铁路（含高速铁路）、公路</w:t>
      </w:r>
      <w:r>
        <w:rPr>
          <w:rFonts w:hint="eastAsia" w:ascii="Times New Roman" w:hAnsi="Times New Roman" w:eastAsia="仿宋_GB2312" w:cs="方正小标宋简体"/>
          <w:b w:val="0"/>
          <w:bCs w:val="0"/>
          <w:sz w:val="32"/>
          <w:szCs w:val="44"/>
          <w:lang w:val="en-US" w:eastAsia="zh-CN"/>
        </w:rPr>
        <w:t>（含高速公路）、城市道路、农村道路、匝道中心线。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方正小标宋简体"/>
          <w:b w:val="0"/>
          <w:bCs w:val="0"/>
          <w:sz w:val="32"/>
          <w:szCs w:val="44"/>
          <w:lang w:val="en-US" w:eastAsia="zh-CN"/>
        </w:rPr>
      </w:pPr>
      <w:r>
        <w:rPr>
          <w:rFonts w:hint="eastAsia" w:ascii="Times New Roman" w:hAnsi="Times New Roman" w:eastAsia="仿宋_GB2312" w:cs="方正小标宋简体"/>
          <w:b w:val="0"/>
          <w:bCs w:val="0"/>
          <w:sz w:val="32"/>
          <w:szCs w:val="44"/>
          <w:lang w:val="en-US" w:eastAsia="zh-CN"/>
        </w:rPr>
        <w:t>六是室外滑雪场相关情况根据国家下发的矢量范围为指引，结合管理资料和实地调查，进一步确定其范围及相关属性（相关省级自然资源主管部门按照国家下发的范围，组织监测本行政区域内的室外滑雪场情况）。</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（四）质量控制。</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按照全过程管理的原则开展质量控制，实行“两级检查、一级验收”制度。监测作业单位负责监测成果质量的“两级检查”，省级自然资源主管部门负责组织监测成果的验收，确保监测成果的真实性、准确性、完整性和规范性。</w:t>
      </w:r>
      <w:r>
        <w:rPr>
          <w:rFonts w:hint="eastAsia" w:ascii="Times New Roman" w:hAnsi="Times New Roman" w:eastAsia="仿宋_GB2312" w:cs="Times New Roman"/>
          <w:sz w:val="32"/>
          <w:szCs w:val="32"/>
          <w:lang w:eastAsia="zh-CN"/>
        </w:rPr>
        <w:t>国家负责质量抽查等工作。</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（五）数据成果汇交。</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省级自然资源主管部门按要求组织完成数据成果汇交，国家将数据纳入自然资源三维立体时空数据库体系</w:t>
      </w:r>
      <w:r>
        <w:rPr>
          <w:rFonts w:hint="eastAsia" w:ascii="Times New Roman" w:hAnsi="Times New Roman" w:eastAsia="仿宋_GB2312" w:cs="Times New Roman"/>
          <w:sz w:val="32"/>
          <w:szCs w:val="32"/>
          <w:lang w:eastAsia="zh-CN"/>
        </w:rPr>
        <w:t>，并与国土空间规划“一张图”实施监督信息系统等管理系统互联互通</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（六）监测成果汇总分析。</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sz w:val="32"/>
          <w:szCs w:val="32"/>
        </w:rPr>
        <w:t>城市国土空间监测成果</w:t>
      </w:r>
      <w:r>
        <w:rPr>
          <w:rFonts w:hint="eastAsia" w:ascii="Times New Roman" w:hAnsi="Times New Roman" w:eastAsia="仿宋_GB2312" w:cs="Times New Roman"/>
          <w:sz w:val="32"/>
          <w:szCs w:val="32"/>
          <w:lang w:eastAsia="zh-CN"/>
        </w:rPr>
        <w:t>，各层级自然资源主管部门分别</w:t>
      </w:r>
      <w:r>
        <w:rPr>
          <w:rFonts w:hint="eastAsia" w:ascii="Times New Roman" w:hAnsi="Times New Roman" w:eastAsia="仿宋_GB2312" w:cs="Times New Roman"/>
          <w:sz w:val="32"/>
          <w:szCs w:val="32"/>
        </w:rPr>
        <w:t>进行统计分析，满足</w:t>
      </w:r>
      <w:r>
        <w:rPr>
          <w:rFonts w:hint="eastAsia" w:ascii="Times New Roman" w:hAnsi="Times New Roman" w:eastAsia="仿宋_GB2312" w:cs="Times New Roman"/>
          <w:sz w:val="32"/>
          <w:szCs w:val="32"/>
          <w:lang w:eastAsia="zh-CN"/>
        </w:rPr>
        <w:t>不同层级的自然资源管理和国土空间治理等</w:t>
      </w:r>
      <w:r>
        <w:rPr>
          <w:rFonts w:hint="eastAsia" w:ascii="Times New Roman" w:hAnsi="Times New Roman" w:eastAsia="仿宋_GB2312" w:cs="Times New Roman"/>
          <w:sz w:val="32"/>
          <w:szCs w:val="32"/>
        </w:rPr>
        <w:t>工作需要。</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（七）监测成果应用。</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各层级自然资源主管部门要采取有力措施，将</w:t>
      </w:r>
      <w:r>
        <w:rPr>
          <w:rFonts w:hint="eastAsia" w:ascii="Times New Roman" w:hAnsi="Times New Roman" w:eastAsia="仿宋_GB2312" w:cs="仿宋_GB2312"/>
          <w:sz w:val="32"/>
          <w:szCs w:val="32"/>
          <w:lang w:val="en-US" w:eastAsia="zh-CN"/>
        </w:rPr>
        <w:t>监测成果全面应用于国土空间规划编制及实施监督、城市体检评估等工作中。</w:t>
      </w:r>
    </w:p>
    <w:p>
      <w:pPr>
        <w:pageBreakBefore w:val="0"/>
        <w:widowControl w:val="0"/>
        <w:kinsoku/>
        <w:wordWrap/>
        <w:overflowPunct/>
        <w:topLinePunct w:val="0"/>
        <w:autoSpaceDE/>
        <w:autoSpaceDN/>
        <w:bidi w:val="0"/>
        <w:snapToGrid/>
        <w:spacing w:line="240" w:lineRule="auto"/>
        <w:ind w:firstLine="640" w:firstLineChars="200"/>
        <w:textAlignment w:val="auto"/>
        <w:outlineLvl w:val="0"/>
        <w:rPr>
          <w:rFonts w:ascii="Times New Roman" w:hAnsi="Times New Roman" w:eastAsia="黑体" w:cs="黑体"/>
          <w:sz w:val="32"/>
          <w:szCs w:val="32"/>
        </w:rPr>
      </w:pPr>
      <w:r>
        <w:rPr>
          <w:rFonts w:hint="eastAsia" w:ascii="Times New Roman" w:hAnsi="Times New Roman" w:eastAsia="黑体" w:cs="黑体"/>
          <w:sz w:val="32"/>
          <w:szCs w:val="32"/>
          <w:lang w:eastAsia="zh-CN"/>
        </w:rPr>
        <w:t>五</w:t>
      </w:r>
      <w:r>
        <w:rPr>
          <w:rFonts w:hint="eastAsia" w:ascii="Times New Roman" w:hAnsi="Times New Roman" w:eastAsia="黑体" w:cs="黑体"/>
          <w:sz w:val="32"/>
          <w:szCs w:val="32"/>
        </w:rPr>
        <w:t>、主要成果</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（一）基础成果。</w:t>
      </w:r>
    </w:p>
    <w:p>
      <w:pPr>
        <w:pageBreakBefore w:val="0"/>
        <w:widowControl w:val="0"/>
        <w:kinsoku/>
        <w:wordWrap/>
        <w:overflowPunct/>
        <w:topLinePunct w:val="0"/>
        <w:autoSpaceDE/>
        <w:autoSpaceDN/>
        <w:bidi w:val="0"/>
        <w:snapToGrid/>
        <w:spacing w:line="240" w:lineRule="auto"/>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按照统一要求，通过整合、采集、细化与更新形成</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空间数据成果。</w:t>
      </w:r>
      <w:r>
        <w:rPr>
          <w:rFonts w:hint="eastAsia" w:ascii="Times New Roman" w:hAnsi="Times New Roman" w:eastAsia="仿宋_GB2312" w:cs="仿宋_GB2312"/>
          <w:sz w:val="32"/>
          <w:szCs w:val="32"/>
          <w:lang w:eastAsia="zh-CN"/>
        </w:rPr>
        <w:t>各地制作的正射纠正影像数据。</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（二）统计成果。</w:t>
      </w:r>
    </w:p>
    <w:p>
      <w:pPr>
        <w:pageBreakBefore w:val="0"/>
        <w:widowControl w:val="0"/>
        <w:tabs>
          <w:tab w:val="left" w:pos="4276"/>
          <w:tab w:val="left" w:pos="8522"/>
        </w:tabs>
        <w:kinsoku/>
        <w:wordWrap/>
        <w:overflowPunct/>
        <w:topLinePunct w:val="0"/>
        <w:autoSpaceDE/>
        <w:autoSpaceDN/>
        <w:bidi w:val="0"/>
        <w:adjustRightInd w:val="0"/>
        <w:snapToGrid/>
        <w:spacing w:line="240" w:lineRule="auto"/>
        <w:ind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Times New Roman"/>
          <w:sz w:val="32"/>
          <w:szCs w:val="32"/>
        </w:rPr>
        <w:t>基于基础成果进行汇总统计形成的数据成果。</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（三）分析成果。</w:t>
      </w:r>
    </w:p>
    <w:p>
      <w:pPr>
        <w:pageBreakBefore w:val="0"/>
        <w:widowControl w:val="0"/>
        <w:kinsoku/>
        <w:wordWrap/>
        <w:overflowPunct/>
        <w:topLinePunct w:val="0"/>
        <w:autoSpaceDE/>
        <w:autoSpaceDN/>
        <w:bidi w:val="0"/>
        <w:snapToGrid/>
        <w:spacing w:line="240" w:lineRule="auto"/>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根据业务管理需要，结合其他有关数据，通过计算</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分析形成</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数据成果和报告。</w:t>
      </w:r>
    </w:p>
    <w:p>
      <w:pPr>
        <w:pageBreakBefore w:val="0"/>
        <w:widowControl w:val="0"/>
        <w:kinsoku/>
        <w:wordWrap/>
        <w:overflowPunct/>
        <w:topLinePunct w:val="0"/>
        <w:autoSpaceDE/>
        <w:autoSpaceDN/>
        <w:bidi w:val="0"/>
        <w:snapToGrid/>
        <w:spacing w:line="240" w:lineRule="auto"/>
        <w:ind w:firstLine="640" w:firstLineChars="200"/>
        <w:textAlignment w:val="auto"/>
        <w:outlineLvl w:val="0"/>
        <w:rPr>
          <w:rFonts w:ascii="Times New Roman" w:hAnsi="Times New Roman" w:eastAsia="黑体" w:cs="黑体"/>
          <w:sz w:val="32"/>
          <w:szCs w:val="32"/>
        </w:rPr>
      </w:pP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、进度安排</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6月15日前，国家基础地理信息中心完成技术方案制定，组织开展技术培训。</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default"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val="en-US" w:eastAsia="zh-CN"/>
        </w:rPr>
        <w:t>7月20日前，国家基础地理信息中心陆续分发基础数据至相关省级自然资源主管部门。</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10月31日前，各地编制具体实施方案、组织技术培训，完成资料收集与整理，开展监测工作。省级自然资源主管部门完成质量核查与验收，按照完成一个提交一个的原则，将成果汇交至国家基础地理信息中心。</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11月30日前，国家基础地理信息中心完成质量抽查和成果汇集，中国国土勘测规划院完成监测成果的汇总分析及与国土变更调查成果的整合工作。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方正小标宋简体"/>
          <w:b w:val="0"/>
          <w:bCs w:val="0"/>
          <w:sz w:val="32"/>
          <w:szCs w:val="44"/>
          <w:lang w:val="en-US" w:eastAsia="zh-CN"/>
        </w:rPr>
      </w:pPr>
      <w:r>
        <w:rPr>
          <w:rFonts w:hint="eastAsia" w:ascii="Times New Roman" w:hAnsi="Times New Roman" w:eastAsia="仿宋_GB2312" w:cs="方正小标宋简体"/>
          <w:b w:val="0"/>
          <w:bCs w:val="0"/>
          <w:sz w:val="32"/>
          <w:szCs w:val="44"/>
          <w:lang w:val="en-US" w:eastAsia="zh-CN"/>
        </w:rPr>
        <w:t>12月31日前，相关省级自然资源主管部门将室外滑雪场成果汇交</w:t>
      </w:r>
      <w:r>
        <w:rPr>
          <w:rFonts w:hint="default" w:ascii="Times New Roman" w:hAnsi="Times New Roman" w:eastAsia="仿宋_GB2312" w:cs="方正小标宋简体"/>
          <w:b w:val="0"/>
          <w:bCs w:val="0"/>
          <w:color w:val="000000"/>
          <w:sz w:val="32"/>
          <w:szCs w:val="44"/>
          <w:lang/>
        </w:rPr>
        <w:t>至</w:t>
      </w:r>
      <w:r>
        <w:rPr>
          <w:rFonts w:hint="eastAsia" w:ascii="Times New Roman" w:hAnsi="Times New Roman" w:eastAsia="仿宋_GB2312" w:cs="方正小标宋简体"/>
          <w:b w:val="0"/>
          <w:bCs w:val="0"/>
          <w:sz w:val="32"/>
          <w:szCs w:val="44"/>
          <w:lang w:val="en-US" w:eastAsia="zh-CN"/>
        </w:rPr>
        <w:t>国土卫星遥感应用中心。</w:t>
      </w:r>
    </w:p>
    <w:p>
      <w:pPr>
        <w:pageBreakBefore w:val="0"/>
        <w:widowControl w:val="0"/>
        <w:kinsoku/>
        <w:wordWrap/>
        <w:overflowPunct/>
        <w:topLinePunct w:val="0"/>
        <w:autoSpaceDE/>
        <w:autoSpaceDN/>
        <w:bidi w:val="0"/>
        <w:snapToGrid/>
        <w:spacing w:line="240" w:lineRule="auto"/>
        <w:ind w:firstLine="640" w:firstLineChars="200"/>
        <w:textAlignment w:val="auto"/>
        <w:outlineLvl w:val="0"/>
        <w:rPr>
          <w:rFonts w:ascii="Times New Roman" w:hAnsi="Times New Roman" w:eastAsia="黑体" w:cs="黑体"/>
          <w:sz w:val="32"/>
          <w:szCs w:val="32"/>
        </w:rPr>
      </w:pPr>
      <w:r>
        <w:rPr>
          <w:rFonts w:hint="eastAsia" w:ascii="Times New Roman" w:hAnsi="Times New Roman" w:eastAsia="黑体" w:cs="黑体"/>
          <w:sz w:val="32"/>
          <w:szCs w:val="32"/>
          <w:lang w:eastAsia="zh-CN"/>
        </w:rPr>
        <w:t>七</w:t>
      </w:r>
      <w:r>
        <w:rPr>
          <w:rFonts w:hint="eastAsia" w:ascii="Times New Roman" w:hAnsi="Times New Roman" w:eastAsia="黑体" w:cs="黑体"/>
          <w:sz w:val="32"/>
          <w:szCs w:val="32"/>
        </w:rPr>
        <w:t>、实施保障</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（一）组织保障。</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自然资源调查监测司负责城市国土空间监测工作的组织指导和监督检查，协调解决相关工作中的重大问题。国家基础地理信息中心负责具体组织实施。中国国土勘测规划院负责监测成果的汇总分析及与国土变更调查成果整合，</w:t>
      </w:r>
      <w:r>
        <w:rPr>
          <w:rFonts w:hint="eastAsia" w:ascii="仿宋_GB2312" w:hAnsi="仿宋_GB2312" w:eastAsia="仿宋_GB2312" w:cs="Times New Roman"/>
          <w:sz w:val="32"/>
          <w:szCs w:val="32"/>
          <w:lang w:val="en-US" w:eastAsia="zh-CN"/>
        </w:rPr>
        <w:t>国土调查云保障等工作</w:t>
      </w:r>
      <w:r>
        <w:rPr>
          <w:rFonts w:hint="eastAsia" w:ascii="Times New Roman" w:hAnsi="Times New Roman" w:eastAsia="仿宋_GB2312" w:cs="Times New Roman"/>
          <w:sz w:val="32"/>
          <w:szCs w:val="32"/>
          <w:lang w:val="en-US" w:eastAsia="zh-CN"/>
        </w:rPr>
        <w:t>。各省级自然资源主管部门负责组织本行政区域内城市国土空间监测，并开展质量检查验收工作，按要求汇交监测成果，具体监测工作由城市、县级自然资源主管部门承担，</w:t>
      </w:r>
      <w:r>
        <w:rPr>
          <w:rFonts w:hint="eastAsia" w:ascii="Times New Roman" w:hAnsi="Times New Roman" w:eastAsia="仿宋_GB2312" w:cs="仿宋_GB2312"/>
          <w:sz w:val="32"/>
          <w:lang w:val="en-US" w:eastAsia="zh-CN"/>
        </w:rPr>
        <w:t>省级层面经费保障较好的省份，也可以由省级自然资源主管部门直接组织实施。</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（二）技术保障。</w:t>
      </w:r>
    </w:p>
    <w:p>
      <w:pPr>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省级自然资源主管部门根据国家统一要求，组织制定相应实施细则，加强技术培训和指导，及时解决工作中的技术难题。承担单位要充分应用成熟、先进、实用的技术和设备，完善所需的软、硬件环境，提高监测工作的科技含量，促进工作高效开展。切实加强过程管控，数据的获取、生产，监测成果的内容、形式和质量等，要符合国家相应的技术要求，确保城市国土空间监测工作的规范性和一致性。</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outlineLvl w:val="9"/>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（三）安全生产管理。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Times New Roman"/>
          <w:sz w:val="32"/>
          <w:szCs w:val="32"/>
          <w:lang w:val="en-US" w:eastAsia="zh-CN"/>
        </w:rPr>
        <w:t>各地要进一步增强安全生产意识，完善安全生产机制，落实安全生产责任，强化安全生产培训，确保安全生产。同时，要强化保密管理工作，增强保密意识，完善保密管理制度，落实保密规定，强化人员保密培训，杜绝出现失泄密问题。</w:t>
      </w:r>
    </w:p>
    <w:p>
      <w:pPr>
        <w:pageBreakBefore w:val="0"/>
        <w:widowControl w:val="0"/>
        <w:kinsoku/>
        <w:wordWrap/>
        <w:overflowPunct/>
        <w:topLinePunct w:val="0"/>
        <w:autoSpaceDE/>
        <w:autoSpaceDN/>
        <w:bidi w:val="0"/>
        <w:snapToGrid/>
        <w:spacing w:line="240" w:lineRule="auto"/>
        <w:ind w:firstLine="640" w:firstLineChars="200"/>
        <w:textAlignment w:val="auto"/>
        <w:rPr>
          <w:rFonts w:hint="eastAsia" w:ascii="Times New Roman" w:hAnsi="Times New Roman" w:eastAsia="仿宋_GB2312" w:cs="仿宋_GB2312"/>
          <w:sz w:val="32"/>
          <w:szCs w:val="32"/>
        </w:rPr>
      </w:pPr>
    </w:p>
    <w:p>
      <w:pPr>
        <w:pageBreakBefore w:val="0"/>
        <w:widowControl w:val="0"/>
        <w:kinsoku/>
        <w:wordWrap/>
        <w:overflowPunct/>
        <w:topLinePunct w:val="0"/>
        <w:autoSpaceDE/>
        <w:autoSpaceDN/>
        <w:bidi w:val="0"/>
        <w:snapToGrid/>
        <w:spacing w:line="240" w:lineRule="auto"/>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w:t>
      </w:r>
      <w:r>
        <w:rPr>
          <w:rFonts w:hint="eastAsia" w:ascii="Times New Roman" w:hAnsi="Times New Roman" w:eastAsia="仿宋_GB2312" w:cs="仿宋_GB2312"/>
          <w:sz w:val="32"/>
          <w:szCs w:val="32"/>
          <w:lang w:eastAsia="zh-CN"/>
        </w:rPr>
        <w:t>表</w:t>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.全国地级及以上</w:t>
      </w:r>
      <w:r>
        <w:rPr>
          <w:rFonts w:hint="eastAsia" w:ascii="Times New Roman" w:hAnsi="Times New Roman" w:eastAsia="仿宋_GB2312" w:cs="仿宋_GB2312"/>
          <w:sz w:val="32"/>
          <w:szCs w:val="32"/>
        </w:rPr>
        <w:t>城市名单</w:t>
      </w:r>
    </w:p>
    <w:p>
      <w:pPr>
        <w:pageBreakBefore w:val="0"/>
        <w:widowControl w:val="0"/>
        <w:kinsoku/>
        <w:wordWrap/>
        <w:overflowPunct/>
        <w:topLinePunct w:val="0"/>
        <w:autoSpaceDE/>
        <w:autoSpaceDN/>
        <w:bidi w:val="0"/>
        <w:snapToGrid/>
        <w:spacing w:line="240" w:lineRule="auto"/>
        <w:ind w:firstLine="1600" w:firstLineChars="5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年城市国土空间监测内容</w:t>
      </w: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adjustRightInd/>
        <w:snapToGrid/>
        <w:spacing w:line="360" w:lineRule="auto"/>
        <w:jc w:val="both"/>
        <w:outlineLvl w:val="0"/>
        <w:rPr>
          <w:rFonts w:ascii="Times New Roman" w:hAnsi="Times New Roman" w:eastAsia="黑体" w:cs="黑体"/>
          <w:sz w:val="32"/>
          <w:szCs w:val="32"/>
        </w:rPr>
      </w:pPr>
      <w:r>
        <w:rPr>
          <w:rFonts w:hint="eastAsia" w:ascii="Times New Roman" w:hAnsi="Times New Roman" w:eastAsia="黑体" w:cs="黑体"/>
          <w:sz w:val="32"/>
          <w:szCs w:val="32"/>
        </w:rPr>
        <w:t>附</w:t>
      </w:r>
      <w:r>
        <w:rPr>
          <w:rFonts w:hint="eastAsia" w:ascii="Times New Roman" w:hAnsi="Times New Roman" w:eastAsia="黑体" w:cs="黑体"/>
          <w:sz w:val="32"/>
          <w:szCs w:val="32"/>
          <w:lang w:eastAsia="zh-CN"/>
        </w:rPr>
        <w:t>表</w:t>
      </w:r>
      <w:r>
        <w:rPr>
          <w:rFonts w:ascii="Times New Roman" w:hAnsi="Times New Roman" w:eastAsia="黑体" w:cs="黑体"/>
          <w:sz w:val="32"/>
          <w:szCs w:val="32"/>
        </w:rPr>
        <w:t xml:space="preserve">1  </w:t>
      </w:r>
    </w:p>
    <w:p>
      <w:pPr>
        <w:tabs>
          <w:tab w:val="left" w:pos="4276"/>
          <w:tab w:val="left" w:pos="8522"/>
        </w:tabs>
        <w:adjustRightInd w:val="0"/>
        <w:snapToGrid w:val="0"/>
        <w:spacing w:line="360" w:lineRule="auto"/>
        <w:ind w:firstLine="640"/>
        <w:jc w:val="center"/>
        <w:rPr>
          <w:rFonts w:ascii="Times New Roman" w:hAnsi="Times New Roman" w:eastAsia="仿宋"/>
          <w:sz w:val="36"/>
          <w:szCs w:val="36"/>
        </w:rPr>
      </w:pPr>
      <w:r>
        <w:rPr>
          <w:rFonts w:hint="eastAsia" w:ascii="Times New Roman" w:hAnsi="Times New Roman" w:eastAsia="方正小标宋_GBK" w:cs="方正小标宋_GBK"/>
          <w:sz w:val="36"/>
          <w:szCs w:val="36"/>
          <w:lang w:eastAsia="zh-CN"/>
        </w:rPr>
        <w:t>全国地级及以上</w:t>
      </w:r>
      <w:r>
        <w:rPr>
          <w:rFonts w:hint="eastAsia" w:ascii="Times New Roman" w:hAnsi="Times New Roman" w:eastAsia="方正小标宋_GBK" w:cs="方正小标宋_GBK"/>
          <w:sz w:val="36"/>
          <w:szCs w:val="36"/>
        </w:rPr>
        <w:t>城市名单</w:t>
      </w:r>
    </w:p>
    <w:tbl>
      <w:tblPr>
        <w:tblStyle w:val="30"/>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004"/>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18" w:type="dxa"/>
            <w:noWrap w:val="0"/>
            <w:vAlign w:val="center"/>
          </w:tcPr>
          <w:p>
            <w:pPr>
              <w:pStyle w:val="102"/>
              <w:keepNext w:val="0"/>
              <w:pageBreakBefore w:val="0"/>
              <w:widowControl w:val="0"/>
              <w:adjustRightInd w:val="0"/>
              <w:snapToGrid w:val="0"/>
              <w:spacing w:before="120" w:after="0" w:line="240" w:lineRule="auto"/>
              <w:ind w:firstLine="0"/>
              <w:jc w:val="center"/>
              <w:outlineLvl w:val="9"/>
              <w:rPr>
                <w:rFonts w:hint="eastAsia" w:ascii="Times New Roman" w:hAnsi="Times New Roman" w:eastAsia="宋体" w:cs="宋体"/>
                <w:b/>
                <w:color w:val="000000"/>
                <w:sz w:val="28"/>
                <w:szCs w:val="28"/>
                <w:lang w:val="en-US" w:bidi="ar"/>
              </w:rPr>
            </w:pPr>
            <w:r>
              <w:rPr>
                <w:rFonts w:hint="eastAsia" w:ascii="Times New Roman" w:hAnsi="Times New Roman" w:cs="宋体"/>
                <w:b/>
                <w:color w:val="000000"/>
                <w:sz w:val="28"/>
                <w:szCs w:val="28"/>
                <w:lang w:val="en-US" w:eastAsia="zh-CN" w:bidi="ar"/>
              </w:rPr>
              <w:t>省份</w:t>
            </w:r>
          </w:p>
        </w:tc>
        <w:tc>
          <w:tcPr>
            <w:tcW w:w="1004" w:type="dxa"/>
            <w:noWrap w:val="0"/>
            <w:vAlign w:val="center"/>
          </w:tcPr>
          <w:p>
            <w:pPr>
              <w:pStyle w:val="102"/>
              <w:keepNext w:val="0"/>
              <w:pageBreakBefore w:val="0"/>
              <w:widowControl w:val="0"/>
              <w:adjustRightInd w:val="0"/>
              <w:snapToGrid w:val="0"/>
              <w:spacing w:before="120" w:after="0" w:line="240" w:lineRule="auto"/>
              <w:ind w:firstLine="0"/>
              <w:jc w:val="center"/>
              <w:outlineLvl w:val="9"/>
              <w:rPr>
                <w:rFonts w:hint="eastAsia" w:ascii="Times New Roman" w:hAnsi="Times New Roman" w:eastAsia="宋体" w:cs="宋体"/>
                <w:b/>
                <w:color w:val="000000"/>
                <w:sz w:val="28"/>
                <w:szCs w:val="28"/>
                <w:lang w:val="en-US" w:bidi="ar"/>
              </w:rPr>
            </w:pPr>
            <w:r>
              <w:rPr>
                <w:rFonts w:hint="eastAsia" w:ascii="Times New Roman" w:hAnsi="Times New Roman" w:eastAsia="宋体" w:cs="宋体"/>
                <w:b/>
                <w:color w:val="000000"/>
                <w:sz w:val="28"/>
                <w:szCs w:val="28"/>
                <w:lang w:val="en-US" w:bidi="ar"/>
              </w:rPr>
              <w:t>数量</w:t>
            </w:r>
          </w:p>
        </w:tc>
        <w:tc>
          <w:tcPr>
            <w:tcW w:w="7663" w:type="dxa"/>
            <w:noWrap w:val="0"/>
            <w:vAlign w:val="center"/>
          </w:tcPr>
          <w:p>
            <w:pPr>
              <w:pStyle w:val="102"/>
              <w:keepNext w:val="0"/>
              <w:pageBreakBefore w:val="0"/>
              <w:widowControl w:val="0"/>
              <w:adjustRightInd w:val="0"/>
              <w:snapToGrid w:val="0"/>
              <w:spacing w:before="120" w:after="0" w:line="240" w:lineRule="auto"/>
              <w:ind w:firstLine="0"/>
              <w:jc w:val="center"/>
              <w:outlineLvl w:val="9"/>
              <w:rPr>
                <w:rFonts w:hint="eastAsia" w:ascii="Times New Roman" w:hAnsi="Times New Roman" w:eastAsia="宋体" w:cs="宋体"/>
                <w:b/>
                <w:color w:val="000000"/>
                <w:sz w:val="28"/>
                <w:szCs w:val="28"/>
                <w:lang w:val="en-US" w:bidi="ar"/>
              </w:rPr>
            </w:pPr>
            <w:r>
              <w:rPr>
                <w:rFonts w:hint="eastAsia" w:ascii="Times New Roman" w:hAnsi="Times New Roman" w:cs="宋体"/>
                <w:b/>
                <w:color w:val="000000"/>
                <w:sz w:val="28"/>
                <w:szCs w:val="28"/>
                <w:lang w:val="en-US" w:eastAsia="zh-CN" w:bidi="ar"/>
              </w:rPr>
              <w:t>城市</w:t>
            </w:r>
            <w:r>
              <w:rPr>
                <w:rFonts w:hint="eastAsia" w:ascii="Times New Roman" w:hAnsi="Times New Roman" w:eastAsia="宋体" w:cs="宋体"/>
                <w:b/>
                <w:color w:val="000000"/>
                <w:sz w:val="28"/>
                <w:szCs w:val="28"/>
                <w:lang w:val="en-US"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rPr>
            </w:pPr>
            <w:r>
              <w:rPr>
                <w:rFonts w:hint="eastAsia" w:ascii="Times New Roman" w:hAnsi="Times New Roman" w:cs="宋体"/>
                <w:sz w:val="24"/>
                <w:szCs w:val="24"/>
                <w:lang w:eastAsia="zh-CN"/>
              </w:rPr>
              <w:t>北京</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eastAsia="zh-CN"/>
              </w:rPr>
            </w:pPr>
            <w:r>
              <w:rPr>
                <w:rFonts w:hint="eastAsia" w:ascii="Times New Roman" w:hAnsi="Times New Roman" w:cs="宋体"/>
                <w:kern w:val="2"/>
                <w:sz w:val="24"/>
                <w:szCs w:val="24"/>
                <w:lang w:val="en-US" w:eastAsia="zh-CN"/>
              </w:rPr>
              <w:t>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天津</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河北</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rPr>
              <w:t>石家庄、唐山、秦皇岛、邯郸、邢台、保定、张家口、承德、沧州、廊坊、衡水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cs="宋体"/>
                <w:sz w:val="24"/>
                <w:szCs w:val="24"/>
                <w:lang w:eastAsia="zh-CN"/>
              </w:rPr>
            </w:pPr>
            <w:r>
              <w:rPr>
                <w:rFonts w:hint="eastAsia" w:ascii="Times New Roman" w:hAnsi="Times New Roman" w:cs="宋体"/>
                <w:sz w:val="24"/>
                <w:szCs w:val="24"/>
                <w:lang w:eastAsia="zh-CN"/>
              </w:rPr>
              <w:t>山西</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firstLineChars="0"/>
              <w:jc w:val="center"/>
              <w:rPr>
                <w:rFonts w:hint="eastAsia" w:ascii="Times New Roman" w:hAnsi="Times New Roman" w:eastAsia="宋体" w:cs="宋体"/>
                <w:kern w:val="2"/>
                <w:sz w:val="24"/>
                <w:szCs w:val="24"/>
                <w:lang w:val="en-US" w:eastAsia="zh-CN" w:bidi="ar-SA"/>
              </w:rPr>
            </w:pPr>
            <w:r>
              <w:rPr>
                <w:rFonts w:hint="eastAsia" w:ascii="Times New Roman" w:hAnsi="Times New Roman" w:cs="宋体"/>
                <w:kern w:val="2"/>
                <w:sz w:val="24"/>
                <w:szCs w:val="24"/>
                <w:lang w:val="en-US" w:eastAsia="zh-CN"/>
              </w:rPr>
              <w:t>11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firstLineChars="0"/>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sz w:val="24"/>
                <w:szCs w:val="24"/>
              </w:rPr>
              <w:t>太原、大同、阳泉、长治、晋城、朔州、晋中、运城、忻州、临汾、吕梁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内蒙古</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9</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呼和浩特、包头、乌海、赤峰、通辽、鄂尔多斯、呼伦贝尔、巴彦淖尔、乌兰察布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辽宁</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14</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沈阳、大连、鞍山、抚顺、本溪、丹东、锦州、营口、阜新、辽阳、盘锦、铁岭、朝阳、葫芦岛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吉林</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8</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长春、吉林、四平、辽源、通化、白山、松原、白城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黑龙江</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12</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哈尔滨、齐齐哈尔、鸡西、鹤岗、双鸭山、大庆、伊春、佳木斯、七台河、牡丹江、黑河、绥化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上海</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江苏</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13</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南京、无锡、徐州、常州、苏州、南通、连云港、淮安、盐城、扬州、镇江、泰州、宿迁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浙江</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杭州、宁波、温州、嘉兴、湖州、绍兴、金华、衢州、舟山、台州、丽水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安徽</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16</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合肥、芜湖、蚌埠、淮南、马鞍山、淮北、铜陵、安庆、黄山、滁州、阜阳、宿州、六安、亳州、池州、宣城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福建</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9</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福州、厦门、莆田、三明、泉州、漳州、南平、龙岩、宁德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江西</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南昌、景德镇、萍乡、九江、新余、鹰潭、赣州、吉安、宜春、抚州、上饶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山东</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16</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济南、青岛、淄博、枣庄、东营、烟台、潍坊、济宁、泰安、威海、日照、临沂、德州、聊城、滨州、菏泽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河南</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17</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郑州、开封、洛阳、平顶山、安阳、鹤壁、新乡、焦作、濮阳、许昌、漯河、三门峡、南阳、商丘、信阳、周口、驻马店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湖北</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12</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武汉、黄石、十堰、宜昌、襄阳、鄂州、荆门、孝感、荆州、黄冈、咸宁、随州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湖南</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13</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长沙、株洲、湘潭、衡阳、邵阳、岳阳、常德、张家界、益阳、郴州、永州、怀化、娄底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广东</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21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lang w:eastAsia="zh-CN"/>
              </w:rPr>
            </w:pPr>
            <w:r>
              <w:rPr>
                <w:rFonts w:hint="eastAsia" w:ascii="Times New Roman" w:hAnsi="Times New Roman" w:eastAsia="宋体" w:cs="宋体"/>
                <w:sz w:val="24"/>
                <w:szCs w:val="24"/>
              </w:rPr>
              <w:t>广州、韶关、深圳、珠海、汕头、佛山、江门、湛江、茂名、肇庆、惠州、梅州、汕尾、河源、阳江、清远、东莞、中山</w:t>
            </w:r>
            <w:r>
              <w:rPr>
                <w:rFonts w:hint="eastAsia" w:ascii="Times New Roman" w:hAnsi="Times New Roman" w:cs="宋体"/>
                <w:sz w:val="24"/>
                <w:szCs w:val="24"/>
                <w:lang w:eastAsia="zh-CN"/>
              </w:rPr>
              <w:t>、潮州、揭阳、云浮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广西</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14</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南宁、柳州、桂林、梧州、北海、防城港、钦州、贵港、玉林、百色、贺州、河池、来宾、崇左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海南</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3</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海口、三亚、儋州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重庆</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四川</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18</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成都、自贡、攀枝花、泸州、德阳、绵阳、广元、遂宁、内江、乐山、南充、眉山、宜宾、广安、达州、雅安、巴中、资阳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贵州</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6</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贵阳、六盘水、遵义、安顺、毕节、铜仁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云南</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8</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昆明、曲靖、玉溪、保山、昭通、丽江、普洱、临沧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西藏</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6</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拉萨、日喀则、昌都、林芝、山南、那曲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陕西</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10</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西安、铜川、宝鸡、咸阳、渭南、延安、汉中、榆林、安康、商洛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甘肃</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default"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12</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兰州、嘉峪关、金昌、白银、天水、武威、张掖、平凉、酒泉、庆阳、定西、陇南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青海</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2</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西宁、海东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宁夏</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5</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银川、石嘴山、吴忠、固原、中卫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sz w:val="24"/>
                <w:szCs w:val="24"/>
                <w:lang w:eastAsia="zh-CN"/>
              </w:rPr>
              <w:t>新疆</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kern w:val="2"/>
                <w:sz w:val="24"/>
                <w:szCs w:val="24"/>
                <w:lang w:val="en-US" w:eastAsia="zh-CN"/>
              </w:rPr>
            </w:pPr>
            <w:r>
              <w:rPr>
                <w:rFonts w:hint="eastAsia" w:ascii="Times New Roman" w:hAnsi="Times New Roman" w:cs="宋体"/>
                <w:kern w:val="2"/>
                <w:sz w:val="24"/>
                <w:szCs w:val="24"/>
                <w:lang w:val="en-US" w:eastAsia="zh-CN"/>
              </w:rPr>
              <w:t>4</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rPr>
                <w:rFonts w:hint="eastAsia" w:ascii="Times New Roman" w:hAnsi="Times New Roman" w:eastAsia="宋体" w:cs="宋体"/>
                <w:sz w:val="24"/>
                <w:szCs w:val="24"/>
              </w:rPr>
            </w:pPr>
            <w:r>
              <w:rPr>
                <w:rFonts w:hint="eastAsia" w:ascii="Times New Roman" w:hAnsi="Times New Roman" w:eastAsia="宋体" w:cs="宋体"/>
                <w:sz w:val="24"/>
                <w:szCs w:val="24"/>
              </w:rPr>
              <w:t>乌鲁木齐、克拉玛依、吐鲁番、哈密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8"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004"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sz w:val="24"/>
                <w:szCs w:val="24"/>
                <w:lang w:eastAsia="zh-CN"/>
              </w:rPr>
            </w:pPr>
            <w:r>
              <w:rPr>
                <w:rFonts w:hint="eastAsia" w:ascii="Times New Roman" w:hAnsi="Times New Roman" w:cs="宋体"/>
                <w:kern w:val="2"/>
                <w:sz w:val="24"/>
                <w:szCs w:val="24"/>
                <w:lang w:val="en-US" w:eastAsia="zh-CN"/>
              </w:rPr>
              <w:t>296</w:t>
            </w:r>
          </w:p>
        </w:tc>
        <w:tc>
          <w:tcPr>
            <w:tcW w:w="7663" w:type="dxa"/>
            <w:noWrap w:val="0"/>
            <w:vAlign w:val="center"/>
          </w:tcPr>
          <w:p>
            <w:pPr>
              <w:pStyle w:val="26"/>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320" w:lineRule="exact"/>
              <w:ind w:firstLine="0"/>
              <w:jc w:val="center"/>
              <w:rPr>
                <w:rFonts w:hint="eastAsia" w:ascii="Times New Roman" w:hAnsi="Times New Roman" w:eastAsia="宋体" w:cs="宋体"/>
              </w:rPr>
            </w:pPr>
          </w:p>
        </w:tc>
      </w:tr>
    </w:tbl>
    <w:p/>
    <w:p>
      <w:pPr>
        <w:adjustRightInd/>
        <w:snapToGrid/>
        <w:spacing w:line="360" w:lineRule="auto"/>
        <w:jc w:val="both"/>
        <w:outlineLvl w:val="0"/>
        <w:rPr>
          <w:rFonts w:ascii="Times New Roman" w:hAnsi="Times New Roman" w:eastAsia="黑体" w:cs="黑体"/>
          <w:sz w:val="32"/>
          <w:szCs w:val="32"/>
        </w:rPr>
      </w:pPr>
      <w:r>
        <w:rPr>
          <w:rFonts w:hint="eastAsia" w:ascii="Times New Roman" w:hAnsi="Times New Roman" w:eastAsia="黑体" w:cs="黑体"/>
          <w:sz w:val="32"/>
          <w:szCs w:val="32"/>
        </w:rPr>
        <w:t>附</w:t>
      </w:r>
      <w:r>
        <w:rPr>
          <w:rFonts w:hint="eastAsia" w:ascii="Times New Roman" w:hAnsi="Times New Roman" w:eastAsia="黑体" w:cs="黑体"/>
          <w:sz w:val="32"/>
          <w:szCs w:val="32"/>
          <w:lang w:eastAsia="zh-CN"/>
        </w:rPr>
        <w:t>表2</w:t>
      </w:r>
      <w:r>
        <w:rPr>
          <w:rFonts w:ascii="Times New Roman" w:hAnsi="Times New Roman" w:eastAsia="黑体" w:cs="黑体"/>
          <w:sz w:val="32"/>
          <w:szCs w:val="32"/>
        </w:rPr>
        <w:t xml:space="preserve">  </w:t>
      </w:r>
    </w:p>
    <w:p>
      <w:pPr>
        <w:tabs>
          <w:tab w:val="left" w:pos="4276"/>
          <w:tab w:val="left" w:pos="8522"/>
        </w:tabs>
        <w:adjustRightInd w:val="0"/>
        <w:snapToGrid w:val="0"/>
        <w:spacing w:line="360" w:lineRule="auto"/>
        <w:ind w:firstLine="640"/>
        <w:jc w:val="center"/>
        <w:rPr>
          <w:rFonts w:hint="eastAsia" w:ascii="Times New Roman" w:hAnsi="Times New Roman" w:eastAsia="方正小标宋_GBK" w:cs="方正小标宋_GBK"/>
          <w:sz w:val="36"/>
          <w:szCs w:val="36"/>
        </w:rPr>
      </w:pPr>
      <w:r>
        <w:rPr>
          <w:rFonts w:hint="eastAsia" w:ascii="Times New Roman" w:hAnsi="Times New Roman" w:eastAsia="方正小标宋_GBK" w:cs="方正小标宋_GBK"/>
          <w:sz w:val="36"/>
          <w:szCs w:val="36"/>
        </w:rPr>
        <w:t>202</w:t>
      </w:r>
      <w:r>
        <w:rPr>
          <w:rFonts w:hint="eastAsia" w:ascii="Times New Roman" w:hAnsi="Times New Roman" w:eastAsia="方正小标宋_GBK" w:cs="方正小标宋_GBK"/>
          <w:sz w:val="36"/>
          <w:szCs w:val="36"/>
          <w:lang w:val="en-US" w:eastAsia="zh-CN"/>
        </w:rPr>
        <w:t>3</w:t>
      </w:r>
      <w:r>
        <w:rPr>
          <w:rFonts w:hint="eastAsia" w:ascii="Times New Roman" w:hAnsi="Times New Roman" w:eastAsia="方正小标宋_GBK" w:cs="方正小标宋_GBK"/>
          <w:sz w:val="36"/>
          <w:szCs w:val="36"/>
        </w:rPr>
        <w:t>年城市国土空间监测内容</w:t>
      </w:r>
    </w:p>
    <w:tbl>
      <w:tblPr>
        <w:tblStyle w:val="29"/>
        <w:tblW w:w="10012"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7"/>
        <w:gridCol w:w="950"/>
        <w:gridCol w:w="1750"/>
        <w:gridCol w:w="2236"/>
        <w:gridCol w:w="839"/>
        <w:gridCol w:w="3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1737" w:type="dxa"/>
            <w:gridSpan w:val="2"/>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一级类</w:t>
            </w:r>
          </w:p>
        </w:tc>
        <w:tc>
          <w:tcPr>
            <w:tcW w:w="1750"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二级类</w:t>
            </w:r>
          </w:p>
        </w:tc>
        <w:tc>
          <w:tcPr>
            <w:tcW w:w="2236"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三级类</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cs="宋体"/>
                <w:b/>
                <w:i w:val="0"/>
                <w:color w:val="000000"/>
                <w:kern w:val="0"/>
                <w:sz w:val="24"/>
                <w:szCs w:val="24"/>
                <w:u w:val="none"/>
                <w:lang w:val="en-US" w:eastAsia="zh-CN" w:bidi="ar"/>
              </w:rPr>
              <w:t>监测</w:t>
            </w:r>
            <w:r>
              <w:rPr>
                <w:rFonts w:hint="eastAsia" w:ascii="Times New Roman" w:hAnsi="Times New Roman" w:eastAsia="宋体" w:cs="宋体"/>
                <w:b/>
                <w:i w:val="0"/>
                <w:color w:val="000000"/>
                <w:kern w:val="0"/>
                <w:sz w:val="24"/>
                <w:szCs w:val="24"/>
                <w:u w:val="none"/>
                <w:lang w:val="en-US" w:eastAsia="zh-CN" w:bidi="ar"/>
              </w:rPr>
              <w:t>范围</w:t>
            </w:r>
          </w:p>
        </w:tc>
        <w:tc>
          <w:tcPr>
            <w:tcW w:w="34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787"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编码</w:t>
            </w:r>
          </w:p>
        </w:tc>
        <w:tc>
          <w:tcPr>
            <w:tcW w:w="950"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名称</w:t>
            </w:r>
          </w:p>
        </w:tc>
        <w:tc>
          <w:tcPr>
            <w:tcW w:w="1750"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名称</w:t>
            </w:r>
          </w:p>
        </w:tc>
        <w:tc>
          <w:tcPr>
            <w:tcW w:w="2236"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名称</w:t>
            </w:r>
          </w:p>
        </w:tc>
        <w:tc>
          <w:tcPr>
            <w:tcW w:w="839" w:type="dxa"/>
            <w:vMerge w:val="continue"/>
            <w:tcBorders>
              <w:tl2br w:val="nil"/>
              <w:tr2bl w:val="nil"/>
            </w:tcBorders>
            <w:noWrap w:val="0"/>
            <w:vAlign w:val="center"/>
          </w:tcPr>
          <w:p>
            <w:pPr>
              <w:jc w:val="center"/>
              <w:rPr>
                <w:rFonts w:hint="eastAsia" w:ascii="Times New Roman" w:hAnsi="Times New Roman" w:eastAsia="宋体" w:cs="宋体"/>
                <w:b/>
                <w:i w:val="0"/>
                <w:color w:val="000000"/>
                <w:sz w:val="24"/>
                <w:szCs w:val="24"/>
                <w:u w:val="none"/>
              </w:rPr>
            </w:pPr>
          </w:p>
        </w:tc>
        <w:tc>
          <w:tcPr>
            <w:tcW w:w="3450" w:type="dxa"/>
            <w:vMerge w:val="continue"/>
            <w:tcBorders>
              <w:tl2br w:val="nil"/>
              <w:tr2bl w:val="nil"/>
            </w:tcBorders>
            <w:noWrap w:val="0"/>
            <w:vAlign w:val="center"/>
          </w:tcPr>
          <w:p>
            <w:pPr>
              <w:jc w:val="center"/>
              <w:rPr>
                <w:rFonts w:hint="eastAsia" w:ascii="Times New Roman" w:hAnsi="Times New Roman" w:eastAsia="宋体" w:cs="宋体"/>
                <w:b/>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00</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湿地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红树林地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全域</w:t>
            </w:r>
          </w:p>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来源于202</w:t>
            </w:r>
            <w:r>
              <w:rPr>
                <w:rFonts w:hint="default" w:ascii="Times New Roman" w:hAnsi="Times New Roman" w:cs="宋体"/>
                <w:i w:val="0"/>
                <w:color w:val="000000"/>
                <w:kern w:val="0"/>
                <w:sz w:val="24"/>
                <w:szCs w:val="24"/>
                <w:u w:val="none"/>
                <w:lang w:val="en" w:eastAsia="zh-CN" w:bidi="ar"/>
              </w:rPr>
              <w:t>2</w:t>
            </w:r>
            <w:r>
              <w:rPr>
                <w:rFonts w:hint="eastAsia" w:ascii="Times New Roman" w:hAnsi="Times New Roman" w:eastAsia="宋体" w:cs="宋体"/>
                <w:i w:val="0"/>
                <w:color w:val="000000"/>
                <w:kern w:val="0"/>
                <w:sz w:val="24"/>
                <w:szCs w:val="24"/>
                <w:u w:val="none"/>
                <w:lang w:val="en-US" w:eastAsia="zh-CN" w:bidi="ar"/>
              </w:rPr>
              <w:t>年度国土变更调查成果。</w:t>
            </w:r>
          </w:p>
          <w:p>
            <w:pPr>
              <w:keepNext w:val="0"/>
              <w:keepLines w:val="0"/>
              <w:widowControl/>
              <w:suppressLineNumbers w:val="0"/>
              <w:jc w:val="left"/>
              <w:textAlignment w:val="center"/>
              <w:rPr>
                <w:rFonts w:hint="eastAsia" w:ascii="Times New Roman" w:hAnsi="Times New Roman" w:eastAsia="宋体" w:cs="宋体"/>
                <w:i w:val="0"/>
                <w:color w:val="000000"/>
                <w:kern w:val="2"/>
                <w:sz w:val="24"/>
                <w:szCs w:val="24"/>
                <w:u w:val="none"/>
                <w:lang w:val="en-US" w:eastAsia="zh-CN" w:bidi="ar-SA"/>
              </w:rPr>
            </w:pPr>
          </w:p>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p>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森林沼泽</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灌丛沼泽</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沼泽草地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沿海滩涂</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内陆滩涂</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沼泽地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盐田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01</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耕地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水田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水浇地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旱地</w:t>
            </w:r>
          </w:p>
        </w:tc>
        <w:tc>
          <w:tcPr>
            <w:tcW w:w="2236" w:type="dxa"/>
            <w:tcBorders>
              <w:bottom w:val="single" w:color="auto" w:sz="4" w:space="0"/>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02</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园地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果园</w:t>
            </w:r>
          </w:p>
        </w:tc>
        <w:tc>
          <w:tcPr>
            <w:tcW w:w="2236" w:type="dxa"/>
            <w:tcBorders>
              <w:top w:val="single" w:color="auto" w:sz="4" w:space="0"/>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茶园</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橡胶园</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其他园地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03</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林地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乔木林地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竹林地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灌木林地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其他林地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04</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草地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天然牧草地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人工牧草地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其他草地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05</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商业服务业用地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商业服务业设施用地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787"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物流仓储用地</w:t>
            </w: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2"/>
                <w:sz w:val="24"/>
                <w:szCs w:val="24"/>
                <w:u w:val="none"/>
                <w:lang w:val="en-US" w:eastAsia="zh-CN" w:bidi="ar-SA"/>
              </w:rPr>
            </w:pPr>
            <w:r>
              <w:rPr>
                <w:rFonts w:hint="eastAsia" w:ascii="Times New Roman" w:hAnsi="Times New Roman" w:eastAsia="宋体" w:cs="宋体"/>
                <w:i w:val="0"/>
                <w:color w:val="000000"/>
                <w:kern w:val="0"/>
                <w:sz w:val="24"/>
                <w:szCs w:val="24"/>
                <w:u w:val="none"/>
                <w:lang w:val="en-US" w:eastAsia="zh-CN" w:bidi="ar"/>
              </w:rPr>
              <w:t>06</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2"/>
                <w:sz w:val="24"/>
                <w:szCs w:val="24"/>
                <w:u w:val="none"/>
                <w:lang w:val="en-US" w:eastAsia="zh-CN" w:bidi="ar-SA"/>
              </w:rPr>
            </w:pPr>
            <w:r>
              <w:rPr>
                <w:rFonts w:hint="eastAsia" w:ascii="Times New Roman" w:hAnsi="Times New Roman" w:eastAsia="宋体" w:cs="宋体"/>
                <w:i w:val="0"/>
                <w:color w:val="000000"/>
                <w:kern w:val="0"/>
                <w:sz w:val="24"/>
                <w:szCs w:val="24"/>
                <w:u w:val="none"/>
                <w:lang w:val="en-US" w:eastAsia="zh-CN" w:bidi="ar"/>
              </w:rPr>
              <w:t>工矿用地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kern w:val="0"/>
                <w:sz w:val="24"/>
                <w:szCs w:val="24"/>
                <w:u w:val="none"/>
                <w:lang w:val="en-US" w:eastAsia="zh-CN" w:bidi="ar"/>
              </w:rPr>
              <w:t>工业用地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950"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采矿用地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07</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住宅用地</w:t>
            </w:r>
          </w:p>
        </w:tc>
        <w:tc>
          <w:tcPr>
            <w:tcW w:w="1750" w:type="dxa"/>
            <w:vMerge w:val="restart"/>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城镇住宅用地</w:t>
            </w: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商品</w:t>
            </w:r>
            <w:r>
              <w:rPr>
                <w:rFonts w:hint="eastAsia" w:ascii="Times New Roman" w:hAnsi="Times New Roman" w:cs="宋体"/>
                <w:i w:val="0"/>
                <w:color w:val="000000"/>
                <w:kern w:val="0"/>
                <w:sz w:val="24"/>
                <w:szCs w:val="24"/>
                <w:u w:val="none"/>
                <w:lang w:val="en-US" w:eastAsia="zh-CN" w:bidi="ar"/>
              </w:rPr>
              <w:t>住房（地上）</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kern w:val="0"/>
                <w:sz w:val="24"/>
                <w:szCs w:val="24"/>
                <w:u w:val="none"/>
                <w:lang w:val="en-US" w:eastAsia="zh-CN" w:bidi="ar"/>
              </w:rPr>
              <w:t>城区</w:t>
            </w: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spacing w:val="-6"/>
                <w:sz w:val="24"/>
                <w:szCs w:val="24"/>
                <w:u w:val="none"/>
                <w:lang w:eastAsia="zh-CN"/>
              </w:rPr>
              <w:t>独立用地的细化，非独立用地的单独图层表示，并标注相关属性。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both"/>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保障性住房</w:t>
            </w:r>
            <w:r>
              <w:rPr>
                <w:rFonts w:hint="eastAsia" w:ascii="Times New Roman" w:hAnsi="Times New Roman" w:cs="宋体"/>
                <w:i w:val="0"/>
                <w:color w:val="000000"/>
                <w:kern w:val="0"/>
                <w:sz w:val="24"/>
                <w:szCs w:val="24"/>
                <w:u w:val="none"/>
                <w:lang w:val="en-US" w:eastAsia="zh-CN" w:bidi="ar"/>
              </w:rPr>
              <w:t>（地上）</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农村宅基地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来源于202</w:t>
            </w:r>
            <w:r>
              <w:rPr>
                <w:rFonts w:hint="default" w:ascii="Times New Roman" w:hAnsi="Times New Roman" w:cs="宋体"/>
                <w:i w:val="0"/>
                <w:color w:val="000000"/>
                <w:kern w:val="0"/>
                <w:sz w:val="24"/>
                <w:szCs w:val="24"/>
                <w:u w:val="none"/>
                <w:lang w:val="en" w:eastAsia="zh-CN" w:bidi="ar"/>
              </w:rPr>
              <w:t>2</w:t>
            </w:r>
            <w:r>
              <w:rPr>
                <w:rFonts w:hint="eastAsia" w:ascii="Times New Roman" w:hAnsi="Times New Roman" w:eastAsia="宋体" w:cs="宋体"/>
                <w:i w:val="0"/>
                <w:color w:val="00000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08</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公共管理与公共服务用地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机关团体新闻出版用地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科教文卫用地</w:t>
            </w: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文化艺术场馆</w:t>
            </w:r>
          </w:p>
        </w:tc>
        <w:tc>
          <w:tcPr>
            <w:tcW w:w="839"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城区</w:t>
            </w: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sz w:val="24"/>
                <w:szCs w:val="24"/>
                <w:u w:val="none"/>
                <w:lang w:eastAsia="zh-CN"/>
              </w:rPr>
              <w:t>独</w:t>
            </w:r>
            <w:r>
              <w:rPr>
                <w:rFonts w:hint="eastAsia" w:ascii="Times New Roman" w:hAnsi="Times New Roman" w:cs="宋体"/>
                <w:i w:val="0"/>
                <w:color w:val="000000"/>
                <w:spacing w:val="-6"/>
                <w:sz w:val="24"/>
                <w:szCs w:val="24"/>
                <w:u w:val="none"/>
                <w:lang w:eastAsia="zh-CN"/>
              </w:rPr>
              <w:t>立用地的细化，非独立用地的单独图层表示，并标注相关属性。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高等</w:t>
            </w:r>
            <w:r>
              <w:rPr>
                <w:rFonts w:hint="eastAsia" w:ascii="Times New Roman" w:hAnsi="Times New Roman" w:cs="宋体"/>
                <w:i w:val="0"/>
                <w:color w:val="000000"/>
                <w:kern w:val="0"/>
                <w:sz w:val="24"/>
                <w:szCs w:val="24"/>
                <w:u w:val="none"/>
                <w:lang w:val="en-US" w:eastAsia="zh-CN" w:bidi="ar"/>
              </w:rPr>
              <w:t>院</w:t>
            </w:r>
            <w:r>
              <w:rPr>
                <w:rFonts w:hint="eastAsia" w:ascii="Times New Roman" w:hAnsi="Times New Roman" w:eastAsia="宋体" w:cs="宋体"/>
                <w:i w:val="0"/>
                <w:color w:val="000000"/>
                <w:kern w:val="0"/>
                <w:sz w:val="24"/>
                <w:szCs w:val="24"/>
                <w:u w:val="none"/>
                <w:lang w:val="en-US" w:eastAsia="zh-CN" w:bidi="ar"/>
              </w:rPr>
              <w:t>校</w:t>
            </w:r>
          </w:p>
        </w:tc>
        <w:tc>
          <w:tcPr>
            <w:tcW w:w="839"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sz w:val="24"/>
                <w:szCs w:val="24"/>
                <w:u w:val="none"/>
                <w:lang w:eastAsia="zh-CN"/>
              </w:rPr>
            </w:pPr>
            <w:r>
              <w:rPr>
                <w:rFonts w:hint="eastAsia" w:ascii="Times New Roman" w:hAnsi="Times New Roman" w:cs="宋体"/>
                <w:i w:val="0"/>
                <w:color w:val="000000"/>
                <w:sz w:val="24"/>
                <w:szCs w:val="24"/>
                <w:u w:val="none"/>
                <w:lang w:eastAsia="zh-CN"/>
              </w:rPr>
              <w:t>独</w:t>
            </w:r>
            <w:r>
              <w:rPr>
                <w:rFonts w:hint="eastAsia" w:ascii="Times New Roman" w:hAnsi="Times New Roman" w:cs="宋体"/>
                <w:i w:val="0"/>
                <w:color w:val="000000"/>
                <w:spacing w:val="-6"/>
                <w:sz w:val="24"/>
                <w:szCs w:val="24"/>
                <w:u w:val="none"/>
                <w:lang w:eastAsia="zh-CN"/>
              </w:rPr>
              <w:t>立用地的细化，非独立用地的单独图层表示，并标注相关属性。</w:t>
            </w:r>
          </w:p>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kern w:val="0"/>
                <w:sz w:val="24"/>
                <w:szCs w:val="24"/>
                <w:u w:val="none"/>
                <w:lang w:val="en-US" w:eastAsia="zh-CN" w:bidi="ar"/>
              </w:rPr>
              <w:t>中等职业学校</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全域</w:t>
            </w: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特殊教育学校</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w:t>
            </w:r>
            <w:r>
              <w:rPr>
                <w:rFonts w:hint="eastAsia" w:ascii="Times New Roman" w:hAnsi="Times New Roman" w:cs="宋体"/>
                <w:i w:val="0"/>
                <w:color w:val="000000"/>
                <w:kern w:val="0"/>
                <w:sz w:val="24"/>
                <w:szCs w:val="24"/>
                <w:u w:val="none"/>
                <w:lang w:val="en-US" w:eastAsia="zh-CN" w:bidi="ar"/>
              </w:rPr>
              <w:t>小</w:t>
            </w:r>
            <w:r>
              <w:rPr>
                <w:rFonts w:hint="eastAsia" w:ascii="Times New Roman" w:hAnsi="Times New Roman" w:eastAsia="宋体" w:cs="宋体"/>
                <w:i w:val="0"/>
                <w:color w:val="000000"/>
                <w:kern w:val="0"/>
                <w:sz w:val="24"/>
                <w:szCs w:val="24"/>
                <w:u w:val="none"/>
                <w:lang w:val="en-US" w:eastAsia="zh-CN" w:bidi="ar"/>
              </w:rPr>
              <w:t>学</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城区</w:t>
            </w: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kern w:val="0"/>
                <w:sz w:val="24"/>
                <w:szCs w:val="24"/>
                <w:u w:val="none"/>
                <w:lang w:val="en-US" w:eastAsia="zh-CN" w:bidi="ar"/>
              </w:rPr>
              <w:t>幼儿园</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医院</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方舱医院</w:t>
            </w:r>
          </w:p>
        </w:tc>
        <w:tc>
          <w:tcPr>
            <w:tcW w:w="839" w:type="dxa"/>
            <w:tcBorders>
              <w:tl2br w:val="nil"/>
              <w:tr2bl w:val="nil"/>
            </w:tcBorders>
            <w:noWrap w:val="0"/>
            <w:vAlign w:val="center"/>
          </w:tcPr>
          <w:p>
            <w:pPr>
              <w:jc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社区卫生服务设施</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城区</w:t>
            </w: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养老设施</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社区文化活动设施</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kern w:val="0"/>
                <w:sz w:val="24"/>
                <w:szCs w:val="24"/>
                <w:u w:val="none"/>
                <w:lang w:val="en-US" w:eastAsia="zh-CN" w:bidi="ar"/>
              </w:rPr>
              <w:t>体育场馆（</w:t>
            </w:r>
            <w:r>
              <w:rPr>
                <w:rFonts w:hint="default" w:ascii="Times New Roman" w:hAnsi="Times New Roman" w:cs="宋体"/>
                <w:i w:val="0"/>
                <w:color w:val="000000"/>
                <w:kern w:val="0"/>
                <w:sz w:val="24"/>
                <w:szCs w:val="24"/>
                <w:u w:val="none"/>
                <w:lang w:bidi="ar"/>
              </w:rPr>
              <w:t>含</w:t>
            </w:r>
            <w:r>
              <w:rPr>
                <w:rFonts w:hint="eastAsia" w:ascii="Times New Roman" w:hAnsi="Times New Roman" w:cs="宋体"/>
                <w:i w:val="0"/>
                <w:color w:val="000000"/>
                <w:kern w:val="0"/>
                <w:sz w:val="24"/>
                <w:szCs w:val="24"/>
                <w:u w:val="none"/>
                <w:lang w:val="en-US" w:eastAsia="zh-CN" w:bidi="ar"/>
              </w:rPr>
              <w:t>独立足球场）</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cs="宋体"/>
                <w:i w:val="0"/>
                <w:color w:val="000000"/>
                <w:kern w:val="0"/>
                <w:sz w:val="24"/>
                <w:szCs w:val="24"/>
                <w:u w:val="none"/>
                <w:lang w:val="en" w:eastAsia="zh-CN" w:bidi="ar"/>
              </w:rPr>
            </w:pPr>
            <w:r>
              <w:rPr>
                <w:rFonts w:hint="eastAsia" w:ascii="Times New Roman" w:hAnsi="Times New Roman" w:cs="宋体"/>
                <w:i w:val="0"/>
                <w:color w:val="000000"/>
                <w:kern w:val="0"/>
                <w:sz w:val="24"/>
                <w:szCs w:val="24"/>
                <w:u w:val="none"/>
                <w:lang w:val="en" w:eastAsia="zh-CN" w:bidi="ar"/>
              </w:rPr>
              <w:t>儿童社会福利设施</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残疾人福利设施</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jc w:val="left"/>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restart"/>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公用设施用地</w:t>
            </w: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eastAsia="宋体" w:cs="宋体"/>
                <w:i w:val="0"/>
                <w:color w:val="000000"/>
                <w:kern w:val="0"/>
                <w:sz w:val="24"/>
                <w:szCs w:val="24"/>
                <w:u w:val="none"/>
                <w:lang w:val="en-US" w:eastAsia="zh-CN" w:bidi="ar"/>
              </w:rPr>
              <w:t>消防站</w:t>
            </w:r>
          </w:p>
        </w:tc>
        <w:tc>
          <w:tcPr>
            <w:tcW w:w="839"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城区</w:t>
            </w: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自来水厂</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污水处理厂</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垃圾集中处理设施</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2"/>
                <w:sz w:val="24"/>
                <w:szCs w:val="24"/>
                <w:u w:val="none"/>
                <w:lang w:val="en-US" w:eastAsia="zh-CN" w:bidi="ar-SA"/>
              </w:rPr>
            </w:pPr>
            <w:r>
              <w:rPr>
                <w:rFonts w:hint="eastAsia" w:ascii="Times New Roman" w:hAnsi="Times New Roman" w:cs="宋体"/>
                <w:i w:val="0"/>
                <w:color w:val="000000"/>
                <w:kern w:val="0"/>
                <w:sz w:val="24"/>
                <w:szCs w:val="24"/>
                <w:u w:val="none"/>
                <w:lang w:val="en-US" w:eastAsia="zh-CN" w:bidi="ar"/>
              </w:rPr>
              <w:t>城区</w:t>
            </w: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邮政局（所）</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2"/>
                <w:sz w:val="24"/>
                <w:szCs w:val="24"/>
                <w:u w:val="none"/>
                <w:lang w:val="en-US" w:eastAsia="zh-CN" w:bidi="ar-SA"/>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供热厂</w:t>
            </w:r>
          </w:p>
        </w:tc>
        <w:tc>
          <w:tcPr>
            <w:tcW w:w="839"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公园与绿地</w:t>
            </w: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公园</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城区</w:t>
            </w: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细化，并标注相关属性。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绿地</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广场</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09</w:t>
            </w:r>
          </w:p>
        </w:tc>
        <w:tc>
          <w:tcPr>
            <w:tcW w:w="950"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特殊</w:t>
            </w:r>
          </w:p>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用地</w:t>
            </w:r>
          </w:p>
        </w:tc>
        <w:tc>
          <w:tcPr>
            <w:tcW w:w="1750" w:type="dxa"/>
            <w:tcBorders>
              <w:tl2br w:val="nil"/>
              <w:tr2bl w:val="nil"/>
            </w:tcBorders>
            <w:noWrap w:val="0"/>
            <w:vAlign w:val="center"/>
          </w:tcPr>
          <w:p>
            <w:pPr>
              <w:jc w:val="both"/>
              <w:rPr>
                <w:rFonts w:hint="eastAsia" w:ascii="Times New Roman" w:hAnsi="Times New Roman" w:eastAsia="宋体" w:cs="宋体"/>
                <w:i w:val="0"/>
                <w:color w:val="000000"/>
                <w:sz w:val="24"/>
                <w:szCs w:val="24"/>
                <w:u w:val="none"/>
              </w:rPr>
            </w:pPr>
          </w:p>
        </w:tc>
        <w:tc>
          <w:tcPr>
            <w:tcW w:w="2236"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殡葬</w:t>
            </w:r>
            <w:r>
              <w:rPr>
                <w:rFonts w:hint="eastAsia" w:ascii="Times New Roman" w:hAnsi="Times New Roman" w:cs="宋体"/>
                <w:i w:val="0"/>
                <w:color w:val="000000"/>
                <w:kern w:val="0"/>
                <w:sz w:val="24"/>
                <w:szCs w:val="24"/>
                <w:u w:val="none"/>
                <w:lang w:val="en-US" w:eastAsia="zh-CN" w:bidi="ar"/>
              </w:rPr>
              <w:t>设施</w:t>
            </w:r>
          </w:p>
        </w:tc>
        <w:tc>
          <w:tcPr>
            <w:tcW w:w="839"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sz w:val="24"/>
                <w:szCs w:val="24"/>
                <w:u w:val="none"/>
                <w:lang w:eastAsia="zh-CN"/>
              </w:rPr>
              <w:t>细化，并标注相关属性。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10</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交通运输用地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铁路用地</w:t>
            </w:r>
          </w:p>
        </w:tc>
        <w:tc>
          <w:tcPr>
            <w:tcW w:w="2236" w:type="dxa"/>
            <w:tcBorders>
              <w:tl2br w:val="nil"/>
              <w:tr2bl w:val="nil"/>
            </w:tcBorders>
            <w:noWrap w:val="0"/>
            <w:vAlign w:val="center"/>
          </w:tcPr>
          <w:p>
            <w:pPr>
              <w:rPr>
                <w:rFonts w:hint="eastAsia" w:ascii="Times New Roman" w:hAnsi="Times New Roman" w:eastAsia="宋体" w:cs="宋体"/>
                <w:i w:val="0"/>
                <w:color w:val="C00000"/>
                <w:sz w:val="24"/>
                <w:szCs w:val="24"/>
                <w:u w:val="none"/>
              </w:rPr>
            </w:pPr>
          </w:p>
        </w:tc>
        <w:tc>
          <w:tcPr>
            <w:tcW w:w="839" w:type="dxa"/>
            <w:vMerge w:val="restart"/>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来源于202</w:t>
            </w:r>
            <w:r>
              <w:rPr>
                <w:rFonts w:hint="eastAsia" w:ascii="Times New Roman" w:hAnsi="Times New Roman" w:cs="宋体"/>
                <w:i w:val="0"/>
                <w:color w:val="000000"/>
                <w:kern w:val="0"/>
                <w:sz w:val="24"/>
                <w:szCs w:val="24"/>
                <w:u w:val="none"/>
                <w:lang w:val="en-US" w:eastAsia="zh-CN" w:bidi="ar"/>
              </w:rPr>
              <w:t>2</w:t>
            </w:r>
            <w:r>
              <w:rPr>
                <w:rFonts w:hint="eastAsia" w:ascii="Times New Roman" w:hAnsi="Times New Roman" w:eastAsia="宋体" w:cs="宋体"/>
                <w:i w:val="0"/>
                <w:color w:val="00000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轨道交通用地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轨道交通站点（地铁站）</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p>
        </w:tc>
        <w:tc>
          <w:tcPr>
            <w:tcW w:w="3450"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pacing w:val="-6"/>
                <w:sz w:val="24"/>
                <w:szCs w:val="24"/>
                <w:u w:val="none"/>
                <w:lang w:eastAsia="zh-CN"/>
              </w:rPr>
              <w:t>独立用地的细化，非独立用地的单独图层表示，并标注相关属性。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公路用地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高速公路服务区</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细化，并标注相关属性。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城镇村道路用地</w:t>
            </w:r>
          </w:p>
        </w:tc>
        <w:tc>
          <w:tcPr>
            <w:tcW w:w="2236" w:type="dxa"/>
            <w:tcBorders>
              <w:tl2br w:val="nil"/>
              <w:tr2bl w:val="nil"/>
            </w:tcBorders>
            <w:noWrap w:val="0"/>
            <w:vAlign w:val="center"/>
          </w:tcPr>
          <w:p>
            <w:pPr>
              <w:rPr>
                <w:rFonts w:hint="eastAsia" w:ascii="Times New Roman" w:hAnsi="Times New Roman" w:eastAsia="宋体" w:cs="宋体"/>
                <w:i w:val="0"/>
                <w:color w:val="C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2"/>
                <w:sz w:val="24"/>
                <w:szCs w:val="24"/>
                <w:u w:val="none"/>
                <w:lang w:val="en-US" w:eastAsia="zh-CN" w:bidi="ar-SA"/>
              </w:rPr>
            </w:pP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2"/>
                <w:sz w:val="24"/>
                <w:szCs w:val="24"/>
                <w:u w:val="none"/>
                <w:lang w:val="en-US" w:eastAsia="zh-CN" w:bidi="ar-SA"/>
              </w:rPr>
            </w:pPr>
            <w:r>
              <w:rPr>
                <w:rFonts w:hint="eastAsia" w:ascii="Times New Roman" w:hAnsi="Times New Roman" w:eastAsia="宋体" w:cs="宋体"/>
                <w:i w:val="0"/>
                <w:color w:val="000000"/>
                <w:kern w:val="0"/>
                <w:sz w:val="24"/>
                <w:szCs w:val="24"/>
                <w:u w:val="none"/>
                <w:lang w:val="en-US" w:eastAsia="zh-CN" w:bidi="ar"/>
              </w:rPr>
              <w:t>来源于202</w:t>
            </w:r>
            <w:r>
              <w:rPr>
                <w:rFonts w:hint="eastAsia" w:ascii="Times New Roman" w:hAnsi="Times New Roman" w:cs="宋体"/>
                <w:i w:val="0"/>
                <w:color w:val="000000"/>
                <w:kern w:val="0"/>
                <w:sz w:val="24"/>
                <w:szCs w:val="24"/>
                <w:u w:val="none"/>
                <w:lang w:val="en-US" w:eastAsia="zh-CN" w:bidi="ar"/>
              </w:rPr>
              <w:t>2</w:t>
            </w:r>
            <w:r>
              <w:rPr>
                <w:rFonts w:hint="eastAsia" w:ascii="Times New Roman" w:hAnsi="Times New Roman" w:eastAsia="宋体" w:cs="宋体"/>
                <w:i w:val="0"/>
                <w:color w:val="00000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restart"/>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交通服务场站用地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对外交通场站</w:t>
            </w:r>
          </w:p>
        </w:tc>
        <w:tc>
          <w:tcPr>
            <w:tcW w:w="839" w:type="dxa"/>
            <w:vMerge w:val="restart"/>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城区</w:t>
            </w:r>
          </w:p>
        </w:tc>
        <w:tc>
          <w:tcPr>
            <w:tcW w:w="3450" w:type="dxa"/>
            <w:vMerge w:val="restart"/>
            <w:tcBorders>
              <w:tl2br w:val="nil"/>
              <w:tr2bl w:val="nil"/>
            </w:tcBorders>
            <w:noWrap w:val="0"/>
            <w:vAlign w:val="center"/>
          </w:tcPr>
          <w:p>
            <w:pP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sz w:val="24"/>
                <w:szCs w:val="24"/>
                <w:u w:val="none"/>
                <w:lang w:eastAsia="zh-CN"/>
              </w:rPr>
              <w:t>细化，并标注相关属性。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公共交通场站</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公共停车场（地上）</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rPr>
                <w:rFonts w:hint="eastAsia" w:ascii="Times New Roman" w:hAnsi="Times New Roman" w:cs="宋体"/>
                <w:i w:val="0"/>
                <w:color w:val="000000"/>
                <w:sz w:val="24"/>
                <w:szCs w:val="24"/>
                <w:u w:val="none"/>
                <w:lang w:eastAsia="zh-CN"/>
              </w:rPr>
            </w:pPr>
            <w:r>
              <w:rPr>
                <w:rFonts w:hint="eastAsia" w:ascii="Times New Roman" w:hAnsi="Times New Roman" w:cs="宋体"/>
                <w:i w:val="0"/>
                <w:color w:val="000000"/>
                <w:sz w:val="24"/>
                <w:szCs w:val="24"/>
                <w:u w:val="none"/>
                <w:lang w:eastAsia="zh-CN"/>
              </w:rPr>
              <w:t>公共停车楼（地上）</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农村道路</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restart"/>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来源于202</w:t>
            </w:r>
            <w:r>
              <w:rPr>
                <w:rFonts w:hint="eastAsia" w:ascii="Times New Roman" w:hAnsi="Times New Roman" w:cs="宋体"/>
                <w:i w:val="0"/>
                <w:color w:val="000000"/>
                <w:kern w:val="0"/>
                <w:sz w:val="24"/>
                <w:szCs w:val="24"/>
                <w:u w:val="none"/>
                <w:lang w:val="en-US" w:eastAsia="zh-CN" w:bidi="ar"/>
              </w:rPr>
              <w:t>2</w:t>
            </w:r>
            <w:r>
              <w:rPr>
                <w:rFonts w:hint="eastAsia" w:ascii="Times New Roman" w:hAnsi="Times New Roman" w:eastAsia="宋体" w:cs="宋体"/>
                <w:i w:val="0"/>
                <w:color w:val="00000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机场用地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港口码头用地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管道运输用地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2"/>
                <w:sz w:val="24"/>
                <w:szCs w:val="24"/>
                <w:u w:val="none"/>
                <w:lang w:val="en-US" w:eastAsia="zh-CN" w:bidi="ar-SA"/>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11</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水域及水利设施用地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河流水面</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spacing w:val="-20"/>
                <w:kern w:val="0"/>
                <w:sz w:val="24"/>
                <w:szCs w:val="24"/>
                <w:u w:val="none"/>
                <w:lang w:val="en-US" w:eastAsia="zh-CN" w:bidi="ar"/>
              </w:rPr>
              <w:t>来源于202</w:t>
            </w:r>
            <w:r>
              <w:rPr>
                <w:rFonts w:hint="eastAsia" w:ascii="Times New Roman" w:hAnsi="Times New Roman" w:cs="宋体"/>
                <w:i w:val="0"/>
                <w:color w:val="000000"/>
                <w:spacing w:val="-20"/>
                <w:kern w:val="0"/>
                <w:sz w:val="24"/>
                <w:szCs w:val="24"/>
                <w:u w:val="none"/>
                <w:lang w:val="en-US" w:eastAsia="zh-CN" w:bidi="ar"/>
              </w:rPr>
              <w:t>2</w:t>
            </w:r>
            <w:r>
              <w:rPr>
                <w:rFonts w:hint="eastAsia" w:ascii="Times New Roman" w:hAnsi="Times New Roman" w:eastAsia="宋体" w:cs="宋体"/>
                <w:i w:val="0"/>
                <w:color w:val="000000"/>
                <w:spacing w:val="-2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湖泊水面</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restart"/>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restart"/>
            <w:tcBorders>
              <w:tl2br w:val="nil"/>
              <w:tr2bl w:val="nil"/>
            </w:tcBorders>
            <w:noWrap w:val="0"/>
            <w:vAlign w:val="center"/>
          </w:tcPr>
          <w:p>
            <w:pP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spacing w:val="0"/>
                <w:kern w:val="0"/>
                <w:sz w:val="24"/>
                <w:szCs w:val="24"/>
                <w:u w:val="none"/>
                <w:lang w:val="en-US" w:eastAsia="zh-CN" w:bidi="ar"/>
              </w:rPr>
              <w:t>来源于202</w:t>
            </w:r>
            <w:r>
              <w:rPr>
                <w:rFonts w:hint="eastAsia" w:ascii="Times New Roman" w:hAnsi="Times New Roman" w:cs="宋体"/>
                <w:i w:val="0"/>
                <w:color w:val="000000"/>
                <w:spacing w:val="0"/>
                <w:kern w:val="0"/>
                <w:sz w:val="24"/>
                <w:szCs w:val="24"/>
                <w:u w:val="none"/>
                <w:lang w:val="en-US" w:eastAsia="zh-CN" w:bidi="ar"/>
              </w:rPr>
              <w:t>2</w:t>
            </w:r>
            <w:r>
              <w:rPr>
                <w:rFonts w:hint="eastAsia" w:ascii="Times New Roman" w:hAnsi="Times New Roman" w:eastAsia="宋体" w:cs="宋体"/>
                <w:i w:val="0"/>
                <w:color w:val="000000"/>
                <w:spacing w:val="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水库水面</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坑塘水面</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沟渠</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水工建筑用地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水电站</w:t>
            </w: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p>
        </w:tc>
        <w:tc>
          <w:tcPr>
            <w:tcW w:w="3450"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细化，并标注相关属性。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spacing w:val="0"/>
                <w:kern w:val="0"/>
                <w:sz w:val="24"/>
                <w:szCs w:val="24"/>
                <w:u w:val="none"/>
                <w:lang w:val="en-US" w:eastAsia="zh-CN" w:bidi="ar"/>
              </w:rPr>
              <w:t>冰川及</w:t>
            </w:r>
            <w:r>
              <w:rPr>
                <w:rFonts w:hint="eastAsia" w:ascii="Times New Roman" w:hAnsi="Times New Roman" w:cs="宋体"/>
                <w:i w:val="0"/>
                <w:color w:val="000000"/>
                <w:spacing w:val="0"/>
                <w:kern w:val="0"/>
                <w:sz w:val="24"/>
                <w:szCs w:val="24"/>
                <w:u w:val="none"/>
                <w:lang w:val="en-US" w:eastAsia="zh-CN" w:bidi="ar"/>
              </w:rPr>
              <w:t>常年</w:t>
            </w:r>
            <w:r>
              <w:rPr>
                <w:rFonts w:hint="eastAsia" w:ascii="Times New Roman" w:hAnsi="Times New Roman" w:eastAsia="宋体" w:cs="宋体"/>
                <w:i w:val="0"/>
                <w:color w:val="000000"/>
                <w:spacing w:val="0"/>
                <w:kern w:val="0"/>
                <w:sz w:val="24"/>
                <w:szCs w:val="24"/>
                <w:u w:val="none"/>
                <w:lang w:val="en-US" w:eastAsia="zh-CN" w:bidi="ar"/>
              </w:rPr>
              <w:t>积雪</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2"/>
                <w:sz w:val="24"/>
                <w:szCs w:val="24"/>
                <w:u w:val="none"/>
                <w:lang w:val="en-US" w:eastAsia="zh-CN" w:bidi="ar-SA"/>
              </w:rPr>
            </w:pP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2"/>
                <w:sz w:val="24"/>
                <w:szCs w:val="24"/>
                <w:u w:val="none"/>
                <w:lang w:val="en-US" w:eastAsia="zh-CN" w:bidi="ar-SA"/>
              </w:rPr>
            </w:pPr>
            <w:r>
              <w:rPr>
                <w:rFonts w:hint="eastAsia" w:ascii="Times New Roman" w:hAnsi="Times New Roman" w:eastAsia="宋体" w:cs="宋体"/>
                <w:i w:val="0"/>
                <w:color w:val="000000"/>
                <w:kern w:val="0"/>
                <w:sz w:val="24"/>
                <w:szCs w:val="24"/>
                <w:u w:val="none"/>
                <w:lang w:val="en-US" w:eastAsia="zh-CN" w:bidi="ar"/>
              </w:rPr>
              <w:t>来源于202</w:t>
            </w:r>
            <w:r>
              <w:rPr>
                <w:rFonts w:hint="eastAsia" w:ascii="Times New Roman" w:hAnsi="Times New Roman" w:cs="宋体"/>
                <w:i w:val="0"/>
                <w:color w:val="000000"/>
                <w:kern w:val="0"/>
                <w:sz w:val="24"/>
                <w:szCs w:val="24"/>
                <w:u w:val="none"/>
                <w:lang w:val="en-US" w:eastAsia="zh-CN" w:bidi="ar"/>
              </w:rPr>
              <w:t>2</w:t>
            </w:r>
            <w:r>
              <w:rPr>
                <w:rFonts w:hint="eastAsia" w:ascii="Times New Roman" w:hAnsi="Times New Roman" w:eastAsia="宋体" w:cs="宋体"/>
                <w:i w:val="0"/>
                <w:color w:val="00000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jc w:val="center"/>
              <w:rPr>
                <w:rFonts w:hint="default" w:ascii="Times New Roman" w:hAnsi="Times New Roman" w:eastAsia="宋体" w:cs="宋体"/>
                <w:i w:val="0"/>
                <w:color w:val="000000"/>
                <w:sz w:val="24"/>
                <w:szCs w:val="24"/>
                <w:u w:val="none"/>
                <w:lang w:val="en-US" w:eastAsia="zh-CN"/>
              </w:rPr>
            </w:pPr>
            <w:r>
              <w:rPr>
                <w:rFonts w:hint="eastAsia" w:ascii="Times New Roman" w:hAnsi="Times New Roman" w:cs="宋体"/>
                <w:i w:val="0"/>
                <w:color w:val="000000"/>
                <w:sz w:val="24"/>
                <w:szCs w:val="24"/>
                <w:u w:val="none"/>
                <w:lang w:val="en-US" w:eastAsia="zh-CN"/>
              </w:rPr>
              <w:t>12</w:t>
            </w:r>
          </w:p>
        </w:tc>
        <w:tc>
          <w:tcPr>
            <w:tcW w:w="950" w:type="dxa"/>
            <w:vMerge w:val="restart"/>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其他土地</w:t>
            </w: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空闲地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restart"/>
            <w:tcBorders>
              <w:tl2br w:val="nil"/>
              <w:tr2bl w:val="nil"/>
            </w:tcBorders>
            <w:noWrap w:val="0"/>
            <w:vAlign w:val="center"/>
          </w:tcPr>
          <w:p>
            <w:pP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来源于202</w:t>
            </w:r>
            <w:r>
              <w:rPr>
                <w:rFonts w:hint="eastAsia" w:ascii="Times New Roman" w:hAnsi="Times New Roman" w:cs="宋体"/>
                <w:i w:val="0"/>
                <w:color w:val="000000"/>
                <w:kern w:val="0"/>
                <w:sz w:val="24"/>
                <w:szCs w:val="24"/>
                <w:u w:val="none"/>
                <w:lang w:val="en-US" w:eastAsia="zh-CN" w:bidi="ar"/>
              </w:rPr>
              <w:t>2</w:t>
            </w:r>
            <w:r>
              <w:rPr>
                <w:rFonts w:hint="eastAsia" w:ascii="Times New Roman" w:hAnsi="Times New Roman" w:eastAsia="宋体" w:cs="宋体"/>
                <w:i w:val="0"/>
                <w:color w:val="000000"/>
                <w:kern w:val="0"/>
                <w:sz w:val="24"/>
                <w:szCs w:val="24"/>
                <w:u w:val="none"/>
                <w:lang w:val="en-US" w:eastAsia="zh-CN" w:bidi="ar"/>
              </w:rPr>
              <w:t>年度国土变更调查成果。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设施农用地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田坎</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default" w:ascii="Times New Roman" w:hAnsi="Times New Roman" w:eastAsia="宋体" w:cs="宋体"/>
                <w:i w:val="0"/>
                <w:color w:val="000000"/>
                <w:sz w:val="24"/>
                <w:szCs w:val="24"/>
                <w:u w:val="none"/>
                <w:lang w:val="en-US" w:eastAsia="zh-CN"/>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lang w:eastAsia="zh-CN"/>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盐碱地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both"/>
              <w:rPr>
                <w:rFonts w:hint="eastAsia" w:ascii="Times New Roman" w:hAnsi="Times New Roman" w:eastAsia="宋体" w:cs="宋体"/>
                <w:i w:val="0"/>
                <w:color w:val="000000"/>
                <w:sz w:val="24"/>
                <w:szCs w:val="24"/>
                <w:u w:val="none"/>
                <w:lang w:val="en" w:eastAsia="zh-CN"/>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沙地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裸土地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both"/>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eastAsia="宋体" w:cs="宋体"/>
                <w:i w:val="0"/>
                <w:color w:val="000000"/>
                <w:kern w:val="0"/>
                <w:sz w:val="24"/>
                <w:szCs w:val="24"/>
                <w:u w:val="none"/>
                <w:lang w:val="en-US" w:eastAsia="zh-CN" w:bidi="ar"/>
              </w:rPr>
              <w:t>裸岩石砾地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13</w:t>
            </w:r>
          </w:p>
        </w:tc>
        <w:tc>
          <w:tcPr>
            <w:tcW w:w="950"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其他</w:t>
            </w:r>
          </w:p>
        </w:tc>
        <w:tc>
          <w:tcPr>
            <w:tcW w:w="17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水域网络</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河湖（</w:t>
            </w:r>
            <w:r>
              <w:rPr>
                <w:rFonts w:hint="default" w:ascii="Times New Roman" w:hAnsi="Times New Roman" w:cs="宋体"/>
                <w:i w:val="0"/>
                <w:color w:val="000000"/>
                <w:sz w:val="24"/>
                <w:szCs w:val="24"/>
                <w:u w:val="none"/>
                <w:lang/>
              </w:rPr>
              <w:t>含</w:t>
            </w:r>
            <w:r>
              <w:rPr>
                <w:rFonts w:hint="eastAsia" w:ascii="Times New Roman" w:hAnsi="Times New Roman" w:cs="宋体"/>
                <w:i w:val="0"/>
                <w:color w:val="000000"/>
                <w:sz w:val="24"/>
                <w:szCs w:val="24"/>
                <w:u w:val="none"/>
                <w:lang w:eastAsia="zh-CN"/>
              </w:rPr>
              <w:t>大型水库）岸线</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全域</w:t>
            </w: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950"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17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cs="宋体"/>
                <w:i w:val="0"/>
                <w:color w:val="000000"/>
                <w:sz w:val="24"/>
                <w:szCs w:val="24"/>
                <w:u w:val="none"/>
                <w:lang w:eastAsia="zh-CN"/>
              </w:rPr>
            </w:pPr>
          </w:p>
        </w:tc>
        <w:tc>
          <w:tcPr>
            <w:tcW w:w="2236" w:type="dxa"/>
            <w:tcBorders>
              <w:tl2br w:val="nil"/>
              <w:tr2bl w:val="nil"/>
            </w:tcBorders>
            <w:noWrap w:val="0"/>
            <w:vAlign w:val="center"/>
          </w:tcPr>
          <w:p>
            <w:pPr>
              <w:rPr>
                <w:rFonts w:hint="eastAsia" w:ascii="Times New Roman" w:hAnsi="Times New Roman" w:cs="宋体"/>
                <w:i w:val="0"/>
                <w:color w:val="000000"/>
                <w:sz w:val="24"/>
                <w:szCs w:val="24"/>
                <w:u w:val="none"/>
                <w:lang w:eastAsia="zh-CN"/>
              </w:rPr>
            </w:pPr>
            <w:r>
              <w:rPr>
                <w:rFonts w:hint="eastAsia" w:ascii="Times New Roman" w:hAnsi="Times New Roman" w:cs="宋体"/>
                <w:i w:val="0"/>
                <w:color w:val="000000"/>
                <w:sz w:val="24"/>
                <w:szCs w:val="24"/>
                <w:u w:val="none"/>
                <w:lang w:eastAsia="zh-CN"/>
              </w:rPr>
              <w:t>河渠结构线</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道路网络</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铁路（含高速铁路）中心线</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公路（含高速公路）中心线</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城市道路中心线</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rPr>
                <w:rFonts w:hint="eastAsia" w:ascii="Times New Roman" w:hAnsi="Times New Roman" w:cs="宋体"/>
                <w:i w:val="0"/>
                <w:color w:val="000000"/>
                <w:sz w:val="24"/>
                <w:szCs w:val="24"/>
                <w:u w:val="none"/>
                <w:lang w:eastAsia="zh-CN"/>
              </w:rPr>
            </w:pPr>
            <w:r>
              <w:rPr>
                <w:rFonts w:hint="eastAsia" w:ascii="Times New Roman" w:hAnsi="Times New Roman" w:cs="宋体"/>
                <w:i w:val="0"/>
                <w:color w:val="000000"/>
                <w:sz w:val="24"/>
                <w:szCs w:val="24"/>
                <w:u w:val="none"/>
                <w:lang w:eastAsia="zh-CN"/>
              </w:rPr>
              <w:t>农村道路中心线</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c>
          <w:tcPr>
            <w:tcW w:w="2236" w:type="dxa"/>
            <w:tcBorders>
              <w:tl2br w:val="nil"/>
              <w:tr2bl w:val="nil"/>
            </w:tcBorders>
            <w:noWrap w:val="0"/>
            <w:vAlign w:val="center"/>
          </w:tcPr>
          <w:p>
            <w:pPr>
              <w:rPr>
                <w:rFonts w:hint="eastAsia" w:ascii="Times New Roman" w:hAnsi="Times New Roman" w:cs="宋体"/>
                <w:i w:val="0"/>
                <w:color w:val="000000"/>
                <w:sz w:val="24"/>
                <w:szCs w:val="24"/>
                <w:u w:val="none"/>
                <w:lang w:eastAsia="zh-CN"/>
              </w:rPr>
            </w:pPr>
            <w:r>
              <w:rPr>
                <w:rFonts w:hint="eastAsia" w:ascii="Times New Roman" w:hAnsi="Times New Roman" w:cs="宋体"/>
                <w:i w:val="0"/>
                <w:color w:val="000000"/>
                <w:sz w:val="24"/>
                <w:szCs w:val="24"/>
                <w:u w:val="none"/>
                <w:lang w:eastAsia="zh-CN"/>
              </w:rPr>
              <w:t>匝道中心线</w:t>
            </w: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cs="宋体"/>
                <w:i w:val="0"/>
                <w:color w:val="000000"/>
                <w:kern w:val="0"/>
                <w:sz w:val="24"/>
                <w:szCs w:val="24"/>
                <w:u w:val="none"/>
                <w:lang w:val="en-US" w:eastAsia="zh-CN" w:bidi="ar"/>
              </w:rPr>
              <w:t>建（构）筑物</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单体房屋建筑</w:t>
            </w:r>
          </w:p>
        </w:tc>
        <w:tc>
          <w:tcPr>
            <w:tcW w:w="839" w:type="dxa"/>
            <w:vMerge w:val="restar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城区</w:t>
            </w: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pacing w:val="-6"/>
                <w:sz w:val="24"/>
                <w:szCs w:val="24"/>
                <w:u w:val="none"/>
                <w:lang w:eastAsia="zh-CN"/>
              </w:rPr>
              <w:t>单独图层表示，并标注相关属性。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spacing w:val="-11"/>
                <w:sz w:val="24"/>
                <w:szCs w:val="24"/>
                <w:u w:val="none"/>
                <w:lang w:val="en-US" w:eastAsia="zh-CN"/>
              </w:rPr>
              <w:t>城市内涝积水点</w:t>
            </w:r>
          </w:p>
        </w:tc>
        <w:tc>
          <w:tcPr>
            <w:tcW w:w="2236" w:type="dxa"/>
            <w:tcBorders>
              <w:tl2br w:val="nil"/>
              <w:tr2bl w:val="nil"/>
            </w:tcBorders>
            <w:noWrap w:val="0"/>
            <w:vAlign w:val="center"/>
          </w:tcPr>
          <w:p>
            <w:pPr>
              <w:rPr>
                <w:rFonts w:hint="eastAsia" w:ascii="Times New Roman" w:hAnsi="Times New Roman" w:cs="宋体"/>
                <w:i w:val="0"/>
                <w:color w:val="000000"/>
                <w:sz w:val="24"/>
                <w:szCs w:val="24"/>
                <w:u w:val="none"/>
                <w:lang w:eastAsia="zh-CN"/>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restart"/>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单独图层表示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应急避难场所</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p>
        </w:tc>
        <w:tc>
          <w:tcPr>
            <w:tcW w:w="3450" w:type="dxa"/>
            <w:vMerge w:val="continue"/>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新增城市更新改造用地</w:t>
            </w:r>
          </w:p>
        </w:tc>
        <w:tc>
          <w:tcPr>
            <w:tcW w:w="2236" w:type="dxa"/>
            <w:tcBorders>
              <w:tl2br w:val="nil"/>
              <w:tr2bl w:val="nil"/>
            </w:tcBorders>
            <w:noWrap w:val="0"/>
            <w:vAlign w:val="center"/>
          </w:tcPr>
          <w:p>
            <w:pPr>
              <w:rPr>
                <w:rFonts w:hint="eastAsia" w:ascii="Times New Roman" w:hAnsi="Times New Roman" w:eastAsia="宋体" w:cs="宋体"/>
                <w:i w:val="0"/>
                <w:color w:val="000000"/>
                <w:sz w:val="24"/>
                <w:szCs w:val="24"/>
                <w:u w:val="none"/>
              </w:rPr>
            </w:pPr>
          </w:p>
        </w:tc>
        <w:tc>
          <w:tcPr>
            <w:tcW w:w="839" w:type="dxa"/>
            <w:vMerge w:val="continue"/>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lang w:eastAsia="zh-CN"/>
              </w:rPr>
            </w:pP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4"/>
                <w:szCs w:val="24"/>
                <w:u w:val="none"/>
                <w:lang w:eastAsia="zh-CN"/>
              </w:rPr>
            </w:pPr>
            <w:r>
              <w:rPr>
                <w:rFonts w:hint="eastAsia" w:ascii="Times New Roman" w:hAnsi="Times New Roman" w:cs="宋体"/>
                <w:i w:val="0"/>
                <w:color w:val="000000"/>
                <w:sz w:val="24"/>
                <w:szCs w:val="24"/>
                <w:u w:val="none"/>
                <w:lang w:eastAsia="zh-CN"/>
              </w:rPr>
              <w:t>单独图层表示（包括棚户区改造、三旧改造等，不包括微更新、建筑维护改造、环境整治等）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87"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950" w:type="dxa"/>
            <w:vMerge w:val="continue"/>
            <w:tcBorders>
              <w:tl2br w:val="nil"/>
              <w:tr2bl w:val="nil"/>
            </w:tcBorders>
            <w:noWrap w:val="0"/>
            <w:vAlign w:val="center"/>
          </w:tcPr>
          <w:p>
            <w:pPr>
              <w:jc w:val="center"/>
              <w:rPr>
                <w:rFonts w:hint="eastAsia" w:ascii="Times New Roman" w:hAnsi="Times New Roman" w:eastAsia="宋体" w:cs="宋体"/>
                <w:i w:val="0"/>
                <w:color w:val="000000"/>
                <w:sz w:val="24"/>
                <w:szCs w:val="24"/>
                <w:u w:val="none"/>
              </w:rPr>
            </w:pPr>
          </w:p>
        </w:tc>
        <w:tc>
          <w:tcPr>
            <w:tcW w:w="17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室外滑雪场</w:t>
            </w:r>
          </w:p>
        </w:tc>
        <w:tc>
          <w:tcPr>
            <w:tcW w:w="2236" w:type="dxa"/>
            <w:tcBorders>
              <w:tl2br w:val="nil"/>
              <w:tr2bl w:val="nil"/>
            </w:tcBorders>
            <w:noWrap w:val="0"/>
            <w:vAlign w:val="center"/>
          </w:tcPr>
          <w:p>
            <w:pPr>
              <w:rPr>
                <w:rFonts w:hint="eastAsia" w:ascii="Times New Roman" w:hAnsi="Times New Roman" w:eastAsia="宋体" w:cs="宋体"/>
                <w:i w:val="0"/>
                <w:color w:val="000000"/>
                <w:kern w:val="2"/>
                <w:sz w:val="24"/>
                <w:szCs w:val="24"/>
                <w:u w:val="none"/>
                <w:lang w:val="en-US" w:eastAsia="zh-CN" w:bidi="ar-SA"/>
              </w:rPr>
            </w:pPr>
            <w:r>
              <w:rPr>
                <w:rFonts w:hint="eastAsia" w:ascii="Times New Roman" w:hAnsi="Times New Roman" w:cs="宋体"/>
                <w:i w:val="0"/>
                <w:color w:val="000000"/>
                <w:kern w:val="0"/>
                <w:sz w:val="24"/>
                <w:szCs w:val="24"/>
                <w:u w:val="none"/>
                <w:lang w:val="en-US" w:eastAsia="zh-CN" w:bidi="ar"/>
              </w:rPr>
              <w:t>室外滑雪场</w:t>
            </w:r>
            <w:r>
              <w:rPr>
                <w:rFonts w:hint="eastAsia" w:ascii="Times New Roman" w:hAnsi="Times New Roman" w:eastAsia="宋体" w:cs="宋体"/>
                <w:i w:val="0"/>
                <w:color w:val="000000"/>
                <w:kern w:val="0"/>
                <w:sz w:val="24"/>
                <w:szCs w:val="24"/>
                <w:u w:val="none"/>
                <w:lang w:val="en-US" w:eastAsia="zh-CN" w:bidi="ar"/>
              </w:rPr>
              <w:t>（含附属设施）</w:t>
            </w:r>
          </w:p>
        </w:tc>
        <w:tc>
          <w:tcPr>
            <w:tcW w:w="839"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4"/>
                <w:szCs w:val="24"/>
                <w:u w:val="none"/>
                <w:lang w:val="en-US" w:eastAsia="zh-CN" w:bidi="ar"/>
              </w:rPr>
            </w:pPr>
            <w:r>
              <w:rPr>
                <w:rFonts w:hint="eastAsia" w:ascii="Times New Roman" w:hAnsi="Times New Roman" w:cs="宋体"/>
                <w:i w:val="0"/>
                <w:color w:val="000000"/>
                <w:kern w:val="0"/>
                <w:sz w:val="24"/>
                <w:szCs w:val="24"/>
                <w:u w:val="none"/>
                <w:lang w:val="en-US" w:eastAsia="zh-CN" w:bidi="ar"/>
              </w:rPr>
              <w:t>全域</w:t>
            </w:r>
          </w:p>
        </w:tc>
        <w:tc>
          <w:tcPr>
            <w:tcW w:w="3450" w:type="dxa"/>
            <w:tcBorders>
              <w:tl2br w:val="nil"/>
              <w:tr2bl w:val="nil"/>
            </w:tcBorders>
            <w:noWrap w:val="0"/>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2"/>
                <w:sz w:val="24"/>
                <w:szCs w:val="24"/>
                <w:u w:val="none"/>
                <w:lang w:val="en-US" w:eastAsia="zh-CN" w:bidi="ar-SA"/>
              </w:rPr>
            </w:pPr>
            <w:r>
              <w:rPr>
                <w:rFonts w:hint="eastAsia" w:ascii="Times New Roman" w:hAnsi="Times New Roman" w:cs="宋体"/>
                <w:i w:val="0"/>
                <w:color w:val="000000"/>
                <w:sz w:val="24"/>
                <w:szCs w:val="24"/>
                <w:u w:val="none"/>
                <w:lang w:eastAsia="zh-CN"/>
              </w:rPr>
              <w:t>核实范围，并标注相关属性。</w:t>
            </w:r>
          </w:p>
        </w:tc>
      </w:tr>
    </w:tbl>
    <w:p>
      <w:pPr>
        <w:tabs>
          <w:tab w:val="left" w:pos="4276"/>
          <w:tab w:val="left" w:pos="8522"/>
        </w:tabs>
        <w:adjustRightInd w:val="0"/>
        <w:snapToGrid w:val="0"/>
        <w:spacing w:line="360" w:lineRule="auto"/>
        <w:ind w:firstLine="640"/>
        <w:jc w:val="center"/>
        <w:rPr>
          <w:rFonts w:hint="eastAsia" w:ascii="Times New Roman" w:hAnsi="Times New Roman" w:eastAsia="方正小标宋_GBK" w:cs="方正小标宋_GBK"/>
          <w:sz w:val="32"/>
          <w:szCs w:val="32"/>
        </w:rPr>
      </w:pPr>
    </w:p>
    <w:sectPr>
      <w:footerReference r:id="rId3" w:type="default"/>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62794"/>
    <w:multiLevelType w:val="multilevel"/>
    <w:tmpl w:val="0F962794"/>
    <w:lvl w:ilvl="0" w:tentative="0">
      <w:start w:val="1"/>
      <w:numFmt w:val="decimal"/>
      <w:pStyle w:val="80"/>
      <w:lvlText w:val="答%1："/>
      <w:lvlJc w:val="left"/>
      <w:pPr>
        <w:ind w:left="980" w:hanging="420"/>
      </w:pPr>
      <w:rPr>
        <w:rFonts w:hint="default" w:ascii="Calibri" w:hAnsi="Calibri"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ADC0104"/>
    <w:multiLevelType w:val="multilevel"/>
    <w:tmpl w:val="2ADC0104"/>
    <w:lvl w:ilvl="0" w:tentative="0">
      <w:start w:val="1"/>
      <w:numFmt w:val="decimal"/>
      <w:pStyle w:val="61"/>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3D20D9E"/>
    <w:multiLevelType w:val="multilevel"/>
    <w:tmpl w:val="43D20D9E"/>
    <w:lvl w:ilvl="0" w:tentative="0">
      <w:start w:val="1"/>
      <w:numFmt w:val="upperLetter"/>
      <w:pStyle w:val="62"/>
      <w:lvlText w:val="%1."/>
      <w:lvlJc w:val="left"/>
      <w:pPr>
        <w:ind w:left="1259"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58D95699"/>
    <w:multiLevelType w:val="multilevel"/>
    <w:tmpl w:val="58D95699"/>
    <w:lvl w:ilvl="0" w:tentative="0">
      <w:start w:val="1"/>
      <w:numFmt w:val="decimal"/>
      <w:pStyle w:val="2"/>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4">
    <w:nsid w:val="5E150983"/>
    <w:multiLevelType w:val="multilevel"/>
    <w:tmpl w:val="5E150983"/>
    <w:lvl w:ilvl="0" w:tentative="0">
      <w:start w:val="1"/>
      <w:numFmt w:val="decimal"/>
      <w:pStyle w:val="6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00680107"/>
    <w:rsid w:val="00042420"/>
    <w:rsid w:val="00066E65"/>
    <w:rsid w:val="000C3E66"/>
    <w:rsid w:val="000D1808"/>
    <w:rsid w:val="00135EF0"/>
    <w:rsid w:val="0014341B"/>
    <w:rsid w:val="00150089"/>
    <w:rsid w:val="00185DF3"/>
    <w:rsid w:val="0018701F"/>
    <w:rsid w:val="00211D86"/>
    <w:rsid w:val="002A4B98"/>
    <w:rsid w:val="002B7586"/>
    <w:rsid w:val="002D4EC2"/>
    <w:rsid w:val="002E480A"/>
    <w:rsid w:val="002E55FE"/>
    <w:rsid w:val="003751C3"/>
    <w:rsid w:val="003F2910"/>
    <w:rsid w:val="00462F9A"/>
    <w:rsid w:val="004A6F42"/>
    <w:rsid w:val="004B491D"/>
    <w:rsid w:val="004D6EA7"/>
    <w:rsid w:val="00506F90"/>
    <w:rsid w:val="00523947"/>
    <w:rsid w:val="00567B72"/>
    <w:rsid w:val="0059523C"/>
    <w:rsid w:val="005A2A33"/>
    <w:rsid w:val="005E73DC"/>
    <w:rsid w:val="00680107"/>
    <w:rsid w:val="006A6DE5"/>
    <w:rsid w:val="00724EA9"/>
    <w:rsid w:val="00747116"/>
    <w:rsid w:val="007E32B5"/>
    <w:rsid w:val="00826EA9"/>
    <w:rsid w:val="00830CDF"/>
    <w:rsid w:val="00837C05"/>
    <w:rsid w:val="00856597"/>
    <w:rsid w:val="00861752"/>
    <w:rsid w:val="00890E39"/>
    <w:rsid w:val="008D0B51"/>
    <w:rsid w:val="008D0CB4"/>
    <w:rsid w:val="008F1E1C"/>
    <w:rsid w:val="00914D7F"/>
    <w:rsid w:val="00941478"/>
    <w:rsid w:val="009C2525"/>
    <w:rsid w:val="00A24BBC"/>
    <w:rsid w:val="00A250EC"/>
    <w:rsid w:val="00AE1E45"/>
    <w:rsid w:val="00B0444D"/>
    <w:rsid w:val="00B32388"/>
    <w:rsid w:val="00BE1D14"/>
    <w:rsid w:val="00C467BE"/>
    <w:rsid w:val="00C864DC"/>
    <w:rsid w:val="00CA6029"/>
    <w:rsid w:val="00CF7268"/>
    <w:rsid w:val="00D25F6A"/>
    <w:rsid w:val="00E5329C"/>
    <w:rsid w:val="00EA2740"/>
    <w:rsid w:val="00EB4CDF"/>
    <w:rsid w:val="00ED110F"/>
    <w:rsid w:val="00F36DF1"/>
    <w:rsid w:val="00F37FAE"/>
    <w:rsid w:val="00F424B4"/>
    <w:rsid w:val="00F911F4"/>
    <w:rsid w:val="00FB4C7B"/>
    <w:rsid w:val="02473822"/>
    <w:rsid w:val="025621A2"/>
    <w:rsid w:val="02683F6A"/>
    <w:rsid w:val="02AC08F8"/>
    <w:rsid w:val="02AD1D06"/>
    <w:rsid w:val="039159F3"/>
    <w:rsid w:val="039B4285"/>
    <w:rsid w:val="046B05C4"/>
    <w:rsid w:val="050A0826"/>
    <w:rsid w:val="0541153D"/>
    <w:rsid w:val="05825EDA"/>
    <w:rsid w:val="05973B4C"/>
    <w:rsid w:val="05A17E48"/>
    <w:rsid w:val="08236767"/>
    <w:rsid w:val="084B6F7F"/>
    <w:rsid w:val="09A64266"/>
    <w:rsid w:val="09C0269F"/>
    <w:rsid w:val="0A070CAC"/>
    <w:rsid w:val="0C15D7DF"/>
    <w:rsid w:val="0CEF0CD8"/>
    <w:rsid w:val="0D153E56"/>
    <w:rsid w:val="0DED1346"/>
    <w:rsid w:val="0EA879F7"/>
    <w:rsid w:val="0EF03313"/>
    <w:rsid w:val="0F5CB4BA"/>
    <w:rsid w:val="0FD5A33C"/>
    <w:rsid w:val="10671073"/>
    <w:rsid w:val="10FCD7F4"/>
    <w:rsid w:val="127FD6C4"/>
    <w:rsid w:val="12B91B6C"/>
    <w:rsid w:val="12CF4E78"/>
    <w:rsid w:val="12E22E20"/>
    <w:rsid w:val="1349732B"/>
    <w:rsid w:val="134E6759"/>
    <w:rsid w:val="13625955"/>
    <w:rsid w:val="138826D5"/>
    <w:rsid w:val="14952621"/>
    <w:rsid w:val="14EA4DB4"/>
    <w:rsid w:val="15737266"/>
    <w:rsid w:val="15867D55"/>
    <w:rsid w:val="15BC1874"/>
    <w:rsid w:val="15DB0F7C"/>
    <w:rsid w:val="16DFF1F0"/>
    <w:rsid w:val="16EFF28F"/>
    <w:rsid w:val="16F40EB3"/>
    <w:rsid w:val="17A83DC3"/>
    <w:rsid w:val="17B77BD8"/>
    <w:rsid w:val="17F11DA8"/>
    <w:rsid w:val="17F70717"/>
    <w:rsid w:val="18097223"/>
    <w:rsid w:val="18D37728"/>
    <w:rsid w:val="18E27FD9"/>
    <w:rsid w:val="19206C9F"/>
    <w:rsid w:val="194D0BEA"/>
    <w:rsid w:val="19C21FF7"/>
    <w:rsid w:val="1A01733B"/>
    <w:rsid w:val="1A24689E"/>
    <w:rsid w:val="1A9D0627"/>
    <w:rsid w:val="1B3846F0"/>
    <w:rsid w:val="1B3B1AFB"/>
    <w:rsid w:val="1B994819"/>
    <w:rsid w:val="1BBC5F09"/>
    <w:rsid w:val="1BD7DA0D"/>
    <w:rsid w:val="1C3E1325"/>
    <w:rsid w:val="1C4511CC"/>
    <w:rsid w:val="1C4DD4D2"/>
    <w:rsid w:val="1CEF7132"/>
    <w:rsid w:val="1DB41369"/>
    <w:rsid w:val="1DDA5F83"/>
    <w:rsid w:val="1DFF0FD8"/>
    <w:rsid w:val="1E1255FD"/>
    <w:rsid w:val="1E7FD316"/>
    <w:rsid w:val="1EF9F023"/>
    <w:rsid w:val="1F244029"/>
    <w:rsid w:val="1F6F1B6D"/>
    <w:rsid w:val="1F7033A3"/>
    <w:rsid w:val="1F7926A1"/>
    <w:rsid w:val="1FA94E8D"/>
    <w:rsid w:val="1FAFB788"/>
    <w:rsid w:val="1FBC0369"/>
    <w:rsid w:val="1FBF7496"/>
    <w:rsid w:val="1FDF6E5F"/>
    <w:rsid w:val="1FF4799A"/>
    <w:rsid w:val="1FF51BAC"/>
    <w:rsid w:val="1FFC12D9"/>
    <w:rsid w:val="1FFDBE22"/>
    <w:rsid w:val="208A396C"/>
    <w:rsid w:val="20F9296C"/>
    <w:rsid w:val="213F2C59"/>
    <w:rsid w:val="21713EAC"/>
    <w:rsid w:val="21BE719F"/>
    <w:rsid w:val="21E62252"/>
    <w:rsid w:val="21FE134A"/>
    <w:rsid w:val="222311BA"/>
    <w:rsid w:val="244874E0"/>
    <w:rsid w:val="2452327D"/>
    <w:rsid w:val="26597496"/>
    <w:rsid w:val="272F1091"/>
    <w:rsid w:val="2773B94F"/>
    <w:rsid w:val="27BE3538"/>
    <w:rsid w:val="27DADA34"/>
    <w:rsid w:val="28EA1015"/>
    <w:rsid w:val="29CCBCE9"/>
    <w:rsid w:val="29EDE828"/>
    <w:rsid w:val="2B2B055C"/>
    <w:rsid w:val="2B3371B8"/>
    <w:rsid w:val="2BCF84F4"/>
    <w:rsid w:val="2C78791A"/>
    <w:rsid w:val="2CEB4BC0"/>
    <w:rsid w:val="2D254E30"/>
    <w:rsid w:val="2D820087"/>
    <w:rsid w:val="2D907BB8"/>
    <w:rsid w:val="2E0F5222"/>
    <w:rsid w:val="2EA1100C"/>
    <w:rsid w:val="2F4B3BEC"/>
    <w:rsid w:val="2FBD25FE"/>
    <w:rsid w:val="2FEFC510"/>
    <w:rsid w:val="2FF75DEF"/>
    <w:rsid w:val="306C37C4"/>
    <w:rsid w:val="31EB25E6"/>
    <w:rsid w:val="32654B80"/>
    <w:rsid w:val="336727BD"/>
    <w:rsid w:val="338903B5"/>
    <w:rsid w:val="338C0CA1"/>
    <w:rsid w:val="34161751"/>
    <w:rsid w:val="34DF4849"/>
    <w:rsid w:val="34FF0DBC"/>
    <w:rsid w:val="351957F1"/>
    <w:rsid w:val="35763A23"/>
    <w:rsid w:val="35F235F7"/>
    <w:rsid w:val="3681295F"/>
    <w:rsid w:val="36997C68"/>
    <w:rsid w:val="377DA3A0"/>
    <w:rsid w:val="37CDFC00"/>
    <w:rsid w:val="37FB2C42"/>
    <w:rsid w:val="37FBD756"/>
    <w:rsid w:val="382F4F9D"/>
    <w:rsid w:val="38763213"/>
    <w:rsid w:val="389B3ECB"/>
    <w:rsid w:val="38B6B3C4"/>
    <w:rsid w:val="39AC551D"/>
    <w:rsid w:val="39FE10E2"/>
    <w:rsid w:val="3A155050"/>
    <w:rsid w:val="3A7E5A8E"/>
    <w:rsid w:val="3A7FC968"/>
    <w:rsid w:val="3B07350D"/>
    <w:rsid w:val="3B29048F"/>
    <w:rsid w:val="3B8B4073"/>
    <w:rsid w:val="3BA269CE"/>
    <w:rsid w:val="3BF73411"/>
    <w:rsid w:val="3C9B1F77"/>
    <w:rsid w:val="3CC917C5"/>
    <w:rsid w:val="3D1141CF"/>
    <w:rsid w:val="3D6A094B"/>
    <w:rsid w:val="3DB703A4"/>
    <w:rsid w:val="3DBFDAA4"/>
    <w:rsid w:val="3DF14E23"/>
    <w:rsid w:val="3E96D453"/>
    <w:rsid w:val="3EDCC3CD"/>
    <w:rsid w:val="3EE3E7CD"/>
    <w:rsid w:val="3EFC7B5E"/>
    <w:rsid w:val="3F3EBB22"/>
    <w:rsid w:val="3F5E7B73"/>
    <w:rsid w:val="3F5F6908"/>
    <w:rsid w:val="3F663BC1"/>
    <w:rsid w:val="3F6F417D"/>
    <w:rsid w:val="3F77CD01"/>
    <w:rsid w:val="3FB5AA40"/>
    <w:rsid w:val="3FBE5D23"/>
    <w:rsid w:val="3FD5CD05"/>
    <w:rsid w:val="3FEFF959"/>
    <w:rsid w:val="3FF35094"/>
    <w:rsid w:val="3FF75D2F"/>
    <w:rsid w:val="3FFDBC45"/>
    <w:rsid w:val="403A57EB"/>
    <w:rsid w:val="406415CF"/>
    <w:rsid w:val="41074AA6"/>
    <w:rsid w:val="411838B9"/>
    <w:rsid w:val="4187179E"/>
    <w:rsid w:val="41AFCFC7"/>
    <w:rsid w:val="44936E88"/>
    <w:rsid w:val="44EFDA2B"/>
    <w:rsid w:val="44FF0B1B"/>
    <w:rsid w:val="450A60D4"/>
    <w:rsid w:val="45315323"/>
    <w:rsid w:val="45B7094D"/>
    <w:rsid w:val="461E32F8"/>
    <w:rsid w:val="464C0730"/>
    <w:rsid w:val="466D3EEF"/>
    <w:rsid w:val="46911B59"/>
    <w:rsid w:val="46F770B3"/>
    <w:rsid w:val="47E60111"/>
    <w:rsid w:val="48B26798"/>
    <w:rsid w:val="48F24647"/>
    <w:rsid w:val="49083BAA"/>
    <w:rsid w:val="49DE782C"/>
    <w:rsid w:val="49E264CF"/>
    <w:rsid w:val="4B5F25AA"/>
    <w:rsid w:val="4B636643"/>
    <w:rsid w:val="4B8E1A29"/>
    <w:rsid w:val="4B963DF9"/>
    <w:rsid w:val="4BD64FD3"/>
    <w:rsid w:val="4C6D0B4B"/>
    <w:rsid w:val="4CC94770"/>
    <w:rsid w:val="4D03307E"/>
    <w:rsid w:val="4D7611FF"/>
    <w:rsid w:val="4DD51249"/>
    <w:rsid w:val="4DE76FCE"/>
    <w:rsid w:val="4E360EB4"/>
    <w:rsid w:val="4E432B26"/>
    <w:rsid w:val="4E631D2F"/>
    <w:rsid w:val="4E8E55CC"/>
    <w:rsid w:val="4E90284F"/>
    <w:rsid w:val="4F5E76A3"/>
    <w:rsid w:val="4FB35864"/>
    <w:rsid w:val="4FBA24A4"/>
    <w:rsid w:val="4FBDE429"/>
    <w:rsid w:val="4FD70427"/>
    <w:rsid w:val="4FEFC008"/>
    <w:rsid w:val="4FFC1412"/>
    <w:rsid w:val="504B75A0"/>
    <w:rsid w:val="50571B96"/>
    <w:rsid w:val="5067F162"/>
    <w:rsid w:val="50DD2FA7"/>
    <w:rsid w:val="5111060C"/>
    <w:rsid w:val="5135024A"/>
    <w:rsid w:val="51B43241"/>
    <w:rsid w:val="51FED7AB"/>
    <w:rsid w:val="53570214"/>
    <w:rsid w:val="53A01BBB"/>
    <w:rsid w:val="540A0336"/>
    <w:rsid w:val="54257A11"/>
    <w:rsid w:val="548C0FB1"/>
    <w:rsid w:val="54B0031A"/>
    <w:rsid w:val="553E6D22"/>
    <w:rsid w:val="554F7B33"/>
    <w:rsid w:val="55B3D72B"/>
    <w:rsid w:val="55BD7CA4"/>
    <w:rsid w:val="55BF607C"/>
    <w:rsid w:val="55FD12CB"/>
    <w:rsid w:val="56073F6A"/>
    <w:rsid w:val="57055E78"/>
    <w:rsid w:val="57112722"/>
    <w:rsid w:val="57393587"/>
    <w:rsid w:val="57BB7887"/>
    <w:rsid w:val="57BD62AC"/>
    <w:rsid w:val="57F7E33D"/>
    <w:rsid w:val="57FF54FE"/>
    <w:rsid w:val="5812328C"/>
    <w:rsid w:val="586321EB"/>
    <w:rsid w:val="59124E08"/>
    <w:rsid w:val="591F2238"/>
    <w:rsid w:val="5A2763DF"/>
    <w:rsid w:val="5A3137DF"/>
    <w:rsid w:val="5A490CD1"/>
    <w:rsid w:val="5B0E05EC"/>
    <w:rsid w:val="5B5F5CAA"/>
    <w:rsid w:val="5B866D04"/>
    <w:rsid w:val="5BD462C2"/>
    <w:rsid w:val="5BEFD375"/>
    <w:rsid w:val="5C3754AC"/>
    <w:rsid w:val="5C777257"/>
    <w:rsid w:val="5D57B312"/>
    <w:rsid w:val="5D7EA438"/>
    <w:rsid w:val="5D7F7847"/>
    <w:rsid w:val="5D854CF3"/>
    <w:rsid w:val="5DB73C07"/>
    <w:rsid w:val="5DD46CE9"/>
    <w:rsid w:val="5DF01A02"/>
    <w:rsid w:val="5DFEC140"/>
    <w:rsid w:val="5DFFBE49"/>
    <w:rsid w:val="5E6FBF62"/>
    <w:rsid w:val="5E7BB069"/>
    <w:rsid w:val="5ED56A84"/>
    <w:rsid w:val="5EDFB81E"/>
    <w:rsid w:val="5EEB2D83"/>
    <w:rsid w:val="5EFA7CCD"/>
    <w:rsid w:val="5EFD6FDD"/>
    <w:rsid w:val="5F6F3857"/>
    <w:rsid w:val="5F7F544D"/>
    <w:rsid w:val="5F8E8935"/>
    <w:rsid w:val="5F8F18B1"/>
    <w:rsid w:val="5FBD6855"/>
    <w:rsid w:val="5FBF7165"/>
    <w:rsid w:val="5FC953D2"/>
    <w:rsid w:val="5FEB651F"/>
    <w:rsid w:val="600E201D"/>
    <w:rsid w:val="6099690B"/>
    <w:rsid w:val="60EC0D31"/>
    <w:rsid w:val="61431338"/>
    <w:rsid w:val="61E61D59"/>
    <w:rsid w:val="621603CF"/>
    <w:rsid w:val="626BF8F1"/>
    <w:rsid w:val="62B9483E"/>
    <w:rsid w:val="633FB1C3"/>
    <w:rsid w:val="63BFD95A"/>
    <w:rsid w:val="63CF0C53"/>
    <w:rsid w:val="64267CB1"/>
    <w:rsid w:val="658A0EB7"/>
    <w:rsid w:val="65D83483"/>
    <w:rsid w:val="66B31C71"/>
    <w:rsid w:val="6705E3AE"/>
    <w:rsid w:val="67BC11EC"/>
    <w:rsid w:val="67C34F4A"/>
    <w:rsid w:val="67EEF388"/>
    <w:rsid w:val="67EF15E9"/>
    <w:rsid w:val="69E71563"/>
    <w:rsid w:val="69E91A4D"/>
    <w:rsid w:val="6AEE3839"/>
    <w:rsid w:val="6B7FDCE5"/>
    <w:rsid w:val="6B9C1CF6"/>
    <w:rsid w:val="6BC535EF"/>
    <w:rsid w:val="6BCD17D4"/>
    <w:rsid w:val="6BDD77EF"/>
    <w:rsid w:val="6BDF6204"/>
    <w:rsid w:val="6BFE825C"/>
    <w:rsid w:val="6BFE8430"/>
    <w:rsid w:val="6C7F358E"/>
    <w:rsid w:val="6CBA6439"/>
    <w:rsid w:val="6D8FA165"/>
    <w:rsid w:val="6DB4618E"/>
    <w:rsid w:val="6DB5EC70"/>
    <w:rsid w:val="6DBFAD9B"/>
    <w:rsid w:val="6DD7242D"/>
    <w:rsid w:val="6DFFEA59"/>
    <w:rsid w:val="6E3EB731"/>
    <w:rsid w:val="6E5B2E03"/>
    <w:rsid w:val="6EADF39A"/>
    <w:rsid w:val="6EEE6EF0"/>
    <w:rsid w:val="6EEFEF23"/>
    <w:rsid w:val="6F291EE7"/>
    <w:rsid w:val="6F3E9616"/>
    <w:rsid w:val="6F7FFF1D"/>
    <w:rsid w:val="6FBB27F8"/>
    <w:rsid w:val="6FCEEF73"/>
    <w:rsid w:val="6FDB700B"/>
    <w:rsid w:val="6FEF0820"/>
    <w:rsid w:val="6FEFD1B1"/>
    <w:rsid w:val="6FF65E36"/>
    <w:rsid w:val="6FFB0C42"/>
    <w:rsid w:val="6FFBEF36"/>
    <w:rsid w:val="6FFF438D"/>
    <w:rsid w:val="700325D0"/>
    <w:rsid w:val="71EB08C4"/>
    <w:rsid w:val="723F7291"/>
    <w:rsid w:val="72A63EA6"/>
    <w:rsid w:val="72BD3DB3"/>
    <w:rsid w:val="72BFA49B"/>
    <w:rsid w:val="72EE4E2A"/>
    <w:rsid w:val="72FF1A71"/>
    <w:rsid w:val="742F78CE"/>
    <w:rsid w:val="74A9617D"/>
    <w:rsid w:val="74F49EB4"/>
    <w:rsid w:val="756F1ADF"/>
    <w:rsid w:val="757DE146"/>
    <w:rsid w:val="75AE0BC0"/>
    <w:rsid w:val="75ED5D32"/>
    <w:rsid w:val="75FF75B4"/>
    <w:rsid w:val="76366479"/>
    <w:rsid w:val="76AC4572"/>
    <w:rsid w:val="76EB4669"/>
    <w:rsid w:val="777855D2"/>
    <w:rsid w:val="777A85BA"/>
    <w:rsid w:val="777C6FAB"/>
    <w:rsid w:val="777E7221"/>
    <w:rsid w:val="77894387"/>
    <w:rsid w:val="77DFD369"/>
    <w:rsid w:val="77E872FF"/>
    <w:rsid w:val="77F3B76E"/>
    <w:rsid w:val="77F6163D"/>
    <w:rsid w:val="77FC5188"/>
    <w:rsid w:val="77FF1342"/>
    <w:rsid w:val="77FF2E0F"/>
    <w:rsid w:val="77FFA8EE"/>
    <w:rsid w:val="78466F67"/>
    <w:rsid w:val="786F67C3"/>
    <w:rsid w:val="78BF929B"/>
    <w:rsid w:val="78C87EB4"/>
    <w:rsid w:val="78CCF30A"/>
    <w:rsid w:val="78E57EFD"/>
    <w:rsid w:val="78E7EDFA"/>
    <w:rsid w:val="78FE481A"/>
    <w:rsid w:val="79484A38"/>
    <w:rsid w:val="79A51488"/>
    <w:rsid w:val="79E40F23"/>
    <w:rsid w:val="79F24465"/>
    <w:rsid w:val="7A1E34AC"/>
    <w:rsid w:val="7A232FA8"/>
    <w:rsid w:val="7A434CC1"/>
    <w:rsid w:val="7AB7D06F"/>
    <w:rsid w:val="7ACB1C43"/>
    <w:rsid w:val="7ACFF047"/>
    <w:rsid w:val="7AF95E11"/>
    <w:rsid w:val="7AFBEAC7"/>
    <w:rsid w:val="7B5F6A51"/>
    <w:rsid w:val="7B5FA8C4"/>
    <w:rsid w:val="7B7D1D67"/>
    <w:rsid w:val="7B8BF096"/>
    <w:rsid w:val="7BBA0B9C"/>
    <w:rsid w:val="7BDF5FAC"/>
    <w:rsid w:val="7BEB60A7"/>
    <w:rsid w:val="7BFFC7EF"/>
    <w:rsid w:val="7C04750F"/>
    <w:rsid w:val="7C432FE7"/>
    <w:rsid w:val="7CA3E458"/>
    <w:rsid w:val="7CCB13CE"/>
    <w:rsid w:val="7CE15856"/>
    <w:rsid w:val="7CEF160D"/>
    <w:rsid w:val="7CF9B767"/>
    <w:rsid w:val="7D1648A1"/>
    <w:rsid w:val="7D7C2D64"/>
    <w:rsid w:val="7DA52ABD"/>
    <w:rsid w:val="7DAF620A"/>
    <w:rsid w:val="7DF71A4C"/>
    <w:rsid w:val="7DF90EE5"/>
    <w:rsid w:val="7E1D6E58"/>
    <w:rsid w:val="7E5F11FD"/>
    <w:rsid w:val="7E73D131"/>
    <w:rsid w:val="7E9FCBE8"/>
    <w:rsid w:val="7EA73693"/>
    <w:rsid w:val="7EB4085F"/>
    <w:rsid w:val="7ECC41D6"/>
    <w:rsid w:val="7ECF92AE"/>
    <w:rsid w:val="7EE7CFDA"/>
    <w:rsid w:val="7EEE4657"/>
    <w:rsid w:val="7EEF7FC7"/>
    <w:rsid w:val="7EFAF087"/>
    <w:rsid w:val="7EFB638D"/>
    <w:rsid w:val="7F0A2D0F"/>
    <w:rsid w:val="7F52D7FE"/>
    <w:rsid w:val="7F5F4745"/>
    <w:rsid w:val="7F5F9BA8"/>
    <w:rsid w:val="7F6E09AD"/>
    <w:rsid w:val="7F7CD11B"/>
    <w:rsid w:val="7F7D58EC"/>
    <w:rsid w:val="7F7F5563"/>
    <w:rsid w:val="7F9BE0C6"/>
    <w:rsid w:val="7F9F5A83"/>
    <w:rsid w:val="7FA7E7B7"/>
    <w:rsid w:val="7FAF4687"/>
    <w:rsid w:val="7FB5C1E5"/>
    <w:rsid w:val="7FB77FDE"/>
    <w:rsid w:val="7FB9D2D7"/>
    <w:rsid w:val="7FBBE40F"/>
    <w:rsid w:val="7FBF3FCD"/>
    <w:rsid w:val="7FBF54B4"/>
    <w:rsid w:val="7FBF8744"/>
    <w:rsid w:val="7FC5E823"/>
    <w:rsid w:val="7FCB01DB"/>
    <w:rsid w:val="7FCF8FCD"/>
    <w:rsid w:val="7FCFA9FE"/>
    <w:rsid w:val="7FD73B17"/>
    <w:rsid w:val="7FDD9083"/>
    <w:rsid w:val="7FDE1AC3"/>
    <w:rsid w:val="7FDF70B8"/>
    <w:rsid w:val="7FE55DDE"/>
    <w:rsid w:val="7FEB5850"/>
    <w:rsid w:val="7FEF3F20"/>
    <w:rsid w:val="7FF58A22"/>
    <w:rsid w:val="7FF60B92"/>
    <w:rsid w:val="7FF719F4"/>
    <w:rsid w:val="7FFBBABB"/>
    <w:rsid w:val="7FFBF6BE"/>
    <w:rsid w:val="7FFD535C"/>
    <w:rsid w:val="7FFE2C2C"/>
    <w:rsid w:val="7FFEC67E"/>
    <w:rsid w:val="7FFF4A01"/>
    <w:rsid w:val="873F2367"/>
    <w:rsid w:val="879B6685"/>
    <w:rsid w:val="885B4B8B"/>
    <w:rsid w:val="8CE3016F"/>
    <w:rsid w:val="8DFF444D"/>
    <w:rsid w:val="8FF7FFFA"/>
    <w:rsid w:val="97EE3B7D"/>
    <w:rsid w:val="99FAF632"/>
    <w:rsid w:val="99FFFD70"/>
    <w:rsid w:val="9BBFA349"/>
    <w:rsid w:val="9D4B5CFF"/>
    <w:rsid w:val="9DFEF8C4"/>
    <w:rsid w:val="9E1DDE32"/>
    <w:rsid w:val="9F7D4CEB"/>
    <w:rsid w:val="9FBFD52A"/>
    <w:rsid w:val="9FD5B1F6"/>
    <w:rsid w:val="A79F52F9"/>
    <w:rsid w:val="AB5FF675"/>
    <w:rsid w:val="ACB7D37A"/>
    <w:rsid w:val="AD5F5AE9"/>
    <w:rsid w:val="ADDD39E1"/>
    <w:rsid w:val="AF46006F"/>
    <w:rsid w:val="AFDC2C70"/>
    <w:rsid w:val="B1FFB1E3"/>
    <w:rsid w:val="B36BC1BC"/>
    <w:rsid w:val="B37F52C5"/>
    <w:rsid w:val="B62F3C99"/>
    <w:rsid w:val="B6DE5AE1"/>
    <w:rsid w:val="B7EF4013"/>
    <w:rsid w:val="B86E4702"/>
    <w:rsid w:val="B8F7BF62"/>
    <w:rsid w:val="BA7B23C6"/>
    <w:rsid w:val="BB758602"/>
    <w:rsid w:val="BBDB8EDA"/>
    <w:rsid w:val="BBEF9F3F"/>
    <w:rsid w:val="BBFF5FDB"/>
    <w:rsid w:val="BCCF3E97"/>
    <w:rsid w:val="BCFF6FBB"/>
    <w:rsid w:val="BD9E238F"/>
    <w:rsid w:val="BDAE0A34"/>
    <w:rsid w:val="BDFBDB2C"/>
    <w:rsid w:val="BE6F9A83"/>
    <w:rsid w:val="BEBC8AB5"/>
    <w:rsid w:val="BEBFA7AB"/>
    <w:rsid w:val="BEDFBF2F"/>
    <w:rsid w:val="BF4E1F5A"/>
    <w:rsid w:val="BF7B87EE"/>
    <w:rsid w:val="BF7F7A1B"/>
    <w:rsid w:val="BFBB1F6E"/>
    <w:rsid w:val="BFBE6505"/>
    <w:rsid w:val="BFDF5746"/>
    <w:rsid w:val="BFEEA7C7"/>
    <w:rsid w:val="BFFEA806"/>
    <w:rsid w:val="BFFF2856"/>
    <w:rsid w:val="C3FFD6C5"/>
    <w:rsid w:val="C7D772F1"/>
    <w:rsid w:val="C7FBEF8F"/>
    <w:rsid w:val="C8FF1025"/>
    <w:rsid w:val="CBFC8F54"/>
    <w:rsid w:val="CD3EDDE9"/>
    <w:rsid w:val="CDBBC41E"/>
    <w:rsid w:val="CDFDC5A6"/>
    <w:rsid w:val="CFDE51E5"/>
    <w:rsid w:val="CFF5EEE3"/>
    <w:rsid w:val="CFFF7263"/>
    <w:rsid w:val="CFFFBE70"/>
    <w:rsid w:val="D2DFF7A0"/>
    <w:rsid w:val="D4CF5FA3"/>
    <w:rsid w:val="D5FDB8D7"/>
    <w:rsid w:val="D6EF2AAF"/>
    <w:rsid w:val="D76EA8BE"/>
    <w:rsid w:val="D77C6F75"/>
    <w:rsid w:val="D7DF3B2A"/>
    <w:rsid w:val="D8FEAD88"/>
    <w:rsid w:val="DABFCD48"/>
    <w:rsid w:val="DACC2A16"/>
    <w:rsid w:val="DB3F53D0"/>
    <w:rsid w:val="DB9F14D1"/>
    <w:rsid w:val="DBDFF4DD"/>
    <w:rsid w:val="DBF69638"/>
    <w:rsid w:val="DCEF18E6"/>
    <w:rsid w:val="DCF54A05"/>
    <w:rsid w:val="DD15FF32"/>
    <w:rsid w:val="DD3F8144"/>
    <w:rsid w:val="DDFFFD45"/>
    <w:rsid w:val="DE14B5D3"/>
    <w:rsid w:val="DE7F4D36"/>
    <w:rsid w:val="DE8BBD21"/>
    <w:rsid w:val="DEBFC692"/>
    <w:rsid w:val="DF3F34A4"/>
    <w:rsid w:val="DF3F6D66"/>
    <w:rsid w:val="DF737D54"/>
    <w:rsid w:val="DF7F4D84"/>
    <w:rsid w:val="DFB5E32E"/>
    <w:rsid w:val="DFBF5F27"/>
    <w:rsid w:val="DFEB4ADC"/>
    <w:rsid w:val="DFEF5BD4"/>
    <w:rsid w:val="DFEFD79F"/>
    <w:rsid w:val="DFF257D5"/>
    <w:rsid w:val="DFF4945E"/>
    <w:rsid w:val="DFF7E9E8"/>
    <w:rsid w:val="DFFCCCAF"/>
    <w:rsid w:val="DFFF28A8"/>
    <w:rsid w:val="E1D3717C"/>
    <w:rsid w:val="E23A48CF"/>
    <w:rsid w:val="E34FD4A1"/>
    <w:rsid w:val="E3FF565E"/>
    <w:rsid w:val="E53F2D1F"/>
    <w:rsid w:val="E5EE380E"/>
    <w:rsid w:val="E60E2343"/>
    <w:rsid w:val="E6DFC2CC"/>
    <w:rsid w:val="E75FCF7C"/>
    <w:rsid w:val="E7CD8B0D"/>
    <w:rsid w:val="E7F5B701"/>
    <w:rsid w:val="E7FB6CFB"/>
    <w:rsid w:val="E7FE2A95"/>
    <w:rsid w:val="E93B791A"/>
    <w:rsid w:val="E9BFF473"/>
    <w:rsid w:val="E9DF7205"/>
    <w:rsid w:val="E9F71EFB"/>
    <w:rsid w:val="EA8F9733"/>
    <w:rsid w:val="EB85C713"/>
    <w:rsid w:val="EB9732F1"/>
    <w:rsid w:val="ECAE8611"/>
    <w:rsid w:val="ECDF23DA"/>
    <w:rsid w:val="ED7E869E"/>
    <w:rsid w:val="ED875D32"/>
    <w:rsid w:val="EDCCBA77"/>
    <w:rsid w:val="EDFF73C3"/>
    <w:rsid w:val="EEF6DF70"/>
    <w:rsid w:val="EEF7CB1A"/>
    <w:rsid w:val="EF3E5C62"/>
    <w:rsid w:val="EF6664C5"/>
    <w:rsid w:val="EFAB07F5"/>
    <w:rsid w:val="EFBFCE65"/>
    <w:rsid w:val="EFF33B49"/>
    <w:rsid w:val="EFFBF82F"/>
    <w:rsid w:val="EFFE669E"/>
    <w:rsid w:val="F1FB75DA"/>
    <w:rsid w:val="F2EFAF0E"/>
    <w:rsid w:val="F38D895D"/>
    <w:rsid w:val="F3CE7C5A"/>
    <w:rsid w:val="F3F54342"/>
    <w:rsid w:val="F3FB9F64"/>
    <w:rsid w:val="F472B6BD"/>
    <w:rsid w:val="F4FFCC59"/>
    <w:rsid w:val="F5393AE5"/>
    <w:rsid w:val="F5EFE92C"/>
    <w:rsid w:val="F5F7DC73"/>
    <w:rsid w:val="F5FDAAC8"/>
    <w:rsid w:val="F6AB209E"/>
    <w:rsid w:val="F77BD481"/>
    <w:rsid w:val="F77E5F01"/>
    <w:rsid w:val="F7BFCAA4"/>
    <w:rsid w:val="F7DFF72C"/>
    <w:rsid w:val="F7F717CF"/>
    <w:rsid w:val="F7FF8546"/>
    <w:rsid w:val="F8EE3628"/>
    <w:rsid w:val="F8FD7A4E"/>
    <w:rsid w:val="F9CF8CB2"/>
    <w:rsid w:val="F9D633FD"/>
    <w:rsid w:val="F9F5D102"/>
    <w:rsid w:val="F9FF5D00"/>
    <w:rsid w:val="FA5DA317"/>
    <w:rsid w:val="FA7A06FB"/>
    <w:rsid w:val="FAB6ABBB"/>
    <w:rsid w:val="FABCE3F0"/>
    <w:rsid w:val="FACF7995"/>
    <w:rsid w:val="FAF41D82"/>
    <w:rsid w:val="FAF566B5"/>
    <w:rsid w:val="FB3BD7B7"/>
    <w:rsid w:val="FB4F5132"/>
    <w:rsid w:val="FB5C1329"/>
    <w:rsid w:val="FB5FBDB7"/>
    <w:rsid w:val="FB6E079A"/>
    <w:rsid w:val="FB6FA433"/>
    <w:rsid w:val="FB77750F"/>
    <w:rsid w:val="FB79DE26"/>
    <w:rsid w:val="FB7E255A"/>
    <w:rsid w:val="FBAEECEC"/>
    <w:rsid w:val="FBD7116F"/>
    <w:rsid w:val="FBDE9A78"/>
    <w:rsid w:val="FBDECAB1"/>
    <w:rsid w:val="FBE007EF"/>
    <w:rsid w:val="FBEBC6A6"/>
    <w:rsid w:val="FBEF4FF9"/>
    <w:rsid w:val="FBEF59D8"/>
    <w:rsid w:val="FBFB1163"/>
    <w:rsid w:val="FBFB7E7D"/>
    <w:rsid w:val="FBFD5A36"/>
    <w:rsid w:val="FBFF5A5B"/>
    <w:rsid w:val="FBFF6AD7"/>
    <w:rsid w:val="FBFFFBA4"/>
    <w:rsid w:val="FC9A1EE1"/>
    <w:rsid w:val="FCBFB1DA"/>
    <w:rsid w:val="FCF75857"/>
    <w:rsid w:val="FCFFA735"/>
    <w:rsid w:val="FD338641"/>
    <w:rsid w:val="FD4AB15D"/>
    <w:rsid w:val="FD5F4A40"/>
    <w:rsid w:val="FDABA8D4"/>
    <w:rsid w:val="FDBFCA92"/>
    <w:rsid w:val="FDD7A529"/>
    <w:rsid w:val="FDDFF2B6"/>
    <w:rsid w:val="FDEA2A97"/>
    <w:rsid w:val="FDEFD535"/>
    <w:rsid w:val="FDF71CEE"/>
    <w:rsid w:val="FDF775DC"/>
    <w:rsid w:val="FDF89F97"/>
    <w:rsid w:val="FDFD8B51"/>
    <w:rsid w:val="FDFDBD3D"/>
    <w:rsid w:val="FDFE0401"/>
    <w:rsid w:val="FDFF3C52"/>
    <w:rsid w:val="FDFFF8E1"/>
    <w:rsid w:val="FE4BD48E"/>
    <w:rsid w:val="FE5F3422"/>
    <w:rsid w:val="FE6E74C6"/>
    <w:rsid w:val="FE734873"/>
    <w:rsid w:val="FE7B7CB0"/>
    <w:rsid w:val="FEA5656A"/>
    <w:rsid w:val="FEB757B4"/>
    <w:rsid w:val="FEBEFB58"/>
    <w:rsid w:val="FED708E3"/>
    <w:rsid w:val="FEDD1486"/>
    <w:rsid w:val="FEEFC192"/>
    <w:rsid w:val="FEF6D9BC"/>
    <w:rsid w:val="FF3BED9F"/>
    <w:rsid w:val="FF3F6D77"/>
    <w:rsid w:val="FF3FF0B4"/>
    <w:rsid w:val="FF5F983C"/>
    <w:rsid w:val="FF7E2E9E"/>
    <w:rsid w:val="FF7E4D91"/>
    <w:rsid w:val="FF7ECF8C"/>
    <w:rsid w:val="FF7FDDBF"/>
    <w:rsid w:val="FF9D1AF4"/>
    <w:rsid w:val="FFBB1C27"/>
    <w:rsid w:val="FFBDEFB7"/>
    <w:rsid w:val="FFBF6167"/>
    <w:rsid w:val="FFBFE80A"/>
    <w:rsid w:val="FFC77E67"/>
    <w:rsid w:val="FFCEA38D"/>
    <w:rsid w:val="FFD76B69"/>
    <w:rsid w:val="FFDDEE6E"/>
    <w:rsid w:val="FFDE7BC2"/>
    <w:rsid w:val="FFDF7796"/>
    <w:rsid w:val="FFE5FD75"/>
    <w:rsid w:val="FFE7D46B"/>
    <w:rsid w:val="FFE7D486"/>
    <w:rsid w:val="FFEAC423"/>
    <w:rsid w:val="FFEE9E79"/>
    <w:rsid w:val="FFEFDB14"/>
    <w:rsid w:val="FFF5D63B"/>
    <w:rsid w:val="FFF92E10"/>
    <w:rsid w:val="FFFBC9A3"/>
    <w:rsid w:val="FFFE0D5B"/>
    <w:rsid w:val="FFFE70AB"/>
    <w:rsid w:val="FFFEDDB6"/>
    <w:rsid w:val="FFFEF448"/>
    <w:rsid w:val="FFFF7F20"/>
    <w:rsid w:val="FFFF8E27"/>
    <w:rsid w:val="FFFFA6A1"/>
    <w:rsid w:val="FFFFE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3"/>
    <w:link w:val="37"/>
    <w:qFormat/>
    <w:uiPriority w:val="9"/>
    <w:pPr>
      <w:keepNext/>
      <w:keepLines/>
      <w:numPr>
        <w:ilvl w:val="0"/>
        <w:numId w:val="1"/>
      </w:numPr>
      <w:spacing w:before="240" w:after="240"/>
      <w:ind w:right="280" w:rightChars="100"/>
      <w:jc w:val="left"/>
      <w:outlineLvl w:val="0"/>
    </w:pPr>
    <w:rPr>
      <w:rFonts w:ascii="黑体" w:hAnsi="黑体" w:eastAsia="黑体"/>
      <w:bCs/>
      <w:kern w:val="44"/>
      <w:sz w:val="30"/>
      <w:szCs w:val="30"/>
    </w:rPr>
  </w:style>
  <w:style w:type="paragraph" w:styleId="3">
    <w:name w:val="heading 2"/>
    <w:basedOn w:val="1"/>
    <w:next w:val="4"/>
    <w:link w:val="38"/>
    <w:unhideWhenUsed/>
    <w:qFormat/>
    <w:uiPriority w:val="9"/>
    <w:pPr>
      <w:keepNext/>
      <w:keepLines/>
      <w:spacing w:before="120" w:after="156" w:afterLines="50"/>
      <w:ind w:left="706" w:leftChars="336"/>
      <w:outlineLvl w:val="1"/>
    </w:pPr>
    <w:rPr>
      <w:rFonts w:ascii="Times New Roman" w:hAnsi="Times New Roman" w:eastAsia="楷体_GB2312" w:cs="黑体"/>
      <w:b/>
      <w:bCs/>
      <w:sz w:val="32"/>
      <w:szCs w:val="32"/>
    </w:rPr>
  </w:style>
  <w:style w:type="paragraph" w:styleId="5">
    <w:name w:val="heading 3"/>
    <w:basedOn w:val="1"/>
    <w:next w:val="4"/>
    <w:link w:val="40"/>
    <w:unhideWhenUsed/>
    <w:qFormat/>
    <w:uiPriority w:val="9"/>
    <w:pPr>
      <w:keepNext/>
      <w:keepLines/>
      <w:numPr>
        <w:ilvl w:val="2"/>
        <w:numId w:val="1"/>
      </w:numPr>
      <w:spacing w:before="260" w:after="260"/>
      <w:outlineLvl w:val="2"/>
    </w:pPr>
    <w:rPr>
      <w:rFonts w:ascii="Times New Roman" w:hAnsi="Times New Roman"/>
      <w:b/>
      <w:bCs/>
    </w:rPr>
  </w:style>
  <w:style w:type="paragraph" w:styleId="6">
    <w:name w:val="heading 4"/>
    <w:basedOn w:val="7"/>
    <w:next w:val="1"/>
    <w:link w:val="42"/>
    <w:unhideWhenUsed/>
    <w:qFormat/>
    <w:uiPriority w:val="9"/>
    <w:pPr>
      <w:keepNext/>
      <w:keepLines/>
      <w:numPr>
        <w:ilvl w:val="3"/>
        <w:numId w:val="1"/>
      </w:numPr>
      <w:spacing w:before="240" w:line="377" w:lineRule="auto"/>
      <w:outlineLvl w:val="3"/>
    </w:pPr>
    <w:rPr>
      <w:rFonts w:ascii="Cambria" w:hAnsi="Cambria" w:eastAsia="宋体" w:cs="Times New Roman"/>
      <w:bCs/>
    </w:rPr>
  </w:style>
  <w:style w:type="paragraph" w:styleId="8">
    <w:name w:val="heading 5"/>
    <w:basedOn w:val="1"/>
    <w:next w:val="1"/>
    <w:link w:val="43"/>
    <w:unhideWhenUsed/>
    <w:qFormat/>
    <w:uiPriority w:val="9"/>
    <w:pPr>
      <w:keepNext/>
      <w:keepLines/>
      <w:numPr>
        <w:ilvl w:val="4"/>
        <w:numId w:val="1"/>
      </w:numPr>
      <w:spacing w:before="280" w:after="290" w:line="376" w:lineRule="auto"/>
      <w:outlineLvl w:val="4"/>
    </w:pPr>
    <w:rPr>
      <w:b/>
      <w:bCs/>
    </w:rPr>
  </w:style>
  <w:style w:type="paragraph" w:styleId="9">
    <w:name w:val="heading 6"/>
    <w:basedOn w:val="1"/>
    <w:next w:val="1"/>
    <w:link w:val="44"/>
    <w:unhideWhenUsed/>
    <w:qFormat/>
    <w:uiPriority w:val="9"/>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10">
    <w:name w:val="heading 7"/>
    <w:basedOn w:val="1"/>
    <w:next w:val="1"/>
    <w:link w:val="45"/>
    <w:unhideWhenUsed/>
    <w:qFormat/>
    <w:uiPriority w:val="9"/>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46"/>
    <w:unhideWhenUsed/>
    <w:qFormat/>
    <w:uiPriority w:val="9"/>
    <w:pPr>
      <w:keepNext/>
      <w:keepLines/>
      <w:spacing w:before="240" w:after="64" w:line="320" w:lineRule="auto"/>
      <w:outlineLvl w:val="7"/>
    </w:pPr>
    <w:rPr>
      <w:rFonts w:ascii="Cambria" w:hAnsi="Cambria" w:eastAsia="宋体" w:cs="Times New Roman"/>
      <w:sz w:val="24"/>
      <w:szCs w:val="24"/>
    </w:rPr>
  </w:style>
  <w:style w:type="paragraph" w:styleId="12">
    <w:name w:val="heading 9"/>
    <w:basedOn w:val="1"/>
    <w:next w:val="1"/>
    <w:link w:val="47"/>
    <w:unhideWhenUsed/>
    <w:qFormat/>
    <w:uiPriority w:val="9"/>
    <w:pPr>
      <w:keepNext/>
      <w:keepLines/>
      <w:spacing w:before="240" w:after="64" w:line="320" w:lineRule="auto"/>
      <w:outlineLvl w:val="8"/>
    </w:pPr>
    <w:rPr>
      <w:rFonts w:ascii="Cambria" w:hAnsi="Cambria" w:eastAsia="宋体" w:cs="Times New Roman"/>
    </w:rPr>
  </w:style>
  <w:style w:type="character" w:default="1" w:styleId="31">
    <w:name w:val="Default Paragraph Font"/>
    <w:unhideWhenUsed/>
    <w:qFormat/>
    <w:uiPriority w:val="1"/>
  </w:style>
  <w:style w:type="table" w:default="1" w:styleId="29">
    <w:name w:val="Normal Table"/>
    <w:unhideWhenUsed/>
    <w:qFormat/>
    <w:uiPriority w:val="99"/>
    <w:tblPr>
      <w:tblStyle w:val="29"/>
      <w:tblCellMar>
        <w:top w:w="0" w:type="dxa"/>
        <w:left w:w="108" w:type="dxa"/>
        <w:bottom w:w="0" w:type="dxa"/>
        <w:right w:w="108" w:type="dxa"/>
      </w:tblCellMar>
    </w:tblPr>
  </w:style>
  <w:style w:type="paragraph" w:styleId="4">
    <w:name w:val="Body Text First Indent"/>
    <w:basedOn w:val="1"/>
    <w:link w:val="39"/>
    <w:unhideWhenUsed/>
    <w:qFormat/>
    <w:uiPriority w:val="0"/>
    <w:pPr>
      <w:spacing w:afterLines="50" w:line="500" w:lineRule="exact"/>
      <w:ind w:firstLine="200" w:firstLineChars="200"/>
    </w:pPr>
    <w:rPr>
      <w:rFonts w:ascii="仿宋" w:hAnsi="仿宋" w:eastAsia="仿宋"/>
      <w:kern w:val="0"/>
      <w:lang w:val="en-GB" w:eastAsia="en-US"/>
    </w:rPr>
  </w:style>
  <w:style w:type="paragraph" w:styleId="7">
    <w:name w:val="Body Text"/>
    <w:basedOn w:val="1"/>
    <w:link w:val="41"/>
    <w:unhideWhenUsed/>
    <w:qFormat/>
    <w:uiPriority w:val="99"/>
    <w:pPr>
      <w:spacing w:after="120"/>
    </w:pPr>
  </w:style>
  <w:style w:type="paragraph" w:styleId="13">
    <w:name w:val="caption"/>
    <w:basedOn w:val="1"/>
    <w:next w:val="1"/>
    <w:link w:val="48"/>
    <w:unhideWhenUsed/>
    <w:qFormat/>
    <w:uiPriority w:val="35"/>
    <w:rPr>
      <w:rFonts w:ascii="Cambria" w:hAnsi="Cambria" w:eastAsia="黑体" w:cs="Times New Roman"/>
      <w:sz w:val="20"/>
      <w:szCs w:val="20"/>
    </w:rPr>
  </w:style>
  <w:style w:type="paragraph" w:styleId="14">
    <w:name w:val="annotation text"/>
    <w:basedOn w:val="1"/>
    <w:link w:val="49"/>
    <w:unhideWhenUsed/>
    <w:qFormat/>
    <w:uiPriority w:val="99"/>
    <w:pPr>
      <w:jc w:val="left"/>
    </w:pPr>
    <w:rPr>
      <w:szCs w:val="22"/>
    </w:rPr>
  </w:style>
  <w:style w:type="paragraph" w:styleId="15">
    <w:name w:val="Body Text Indent"/>
    <w:basedOn w:val="1"/>
    <w:link w:val="50"/>
    <w:unhideWhenUsed/>
    <w:qFormat/>
    <w:uiPriority w:val="99"/>
    <w:pPr>
      <w:spacing w:after="120"/>
      <w:ind w:left="420" w:leftChars="200"/>
    </w:pPr>
  </w:style>
  <w:style w:type="paragraph" w:styleId="16">
    <w:name w:val="toc 3"/>
    <w:basedOn w:val="1"/>
    <w:next w:val="1"/>
    <w:qFormat/>
    <w:uiPriority w:val="39"/>
    <w:pPr>
      <w:ind w:left="560"/>
      <w:jc w:val="left"/>
    </w:pPr>
    <w:rPr>
      <w:i/>
      <w:iCs/>
      <w:sz w:val="20"/>
      <w:szCs w:val="20"/>
    </w:rPr>
  </w:style>
  <w:style w:type="paragraph" w:styleId="17">
    <w:name w:val="Date"/>
    <w:basedOn w:val="1"/>
    <w:next w:val="1"/>
    <w:qFormat/>
    <w:uiPriority w:val="0"/>
    <w:pPr>
      <w:widowControl/>
      <w:spacing w:before="60" w:after="60" w:line="400" w:lineRule="atLeast"/>
      <w:ind w:firstLine="454"/>
      <w:jc w:val="left"/>
    </w:pPr>
    <w:rPr>
      <w:rFonts w:ascii="Arial" w:hAnsi="Arial" w:cs="Times New Roman"/>
      <w:kern w:val="0"/>
      <w:sz w:val="24"/>
      <w:szCs w:val="20"/>
    </w:rPr>
  </w:style>
  <w:style w:type="paragraph" w:styleId="18">
    <w:name w:val="Body Text Indent 2"/>
    <w:basedOn w:val="1"/>
    <w:link w:val="51"/>
    <w:unhideWhenUsed/>
    <w:qFormat/>
    <w:uiPriority w:val="99"/>
    <w:pPr>
      <w:spacing w:line="360" w:lineRule="auto"/>
      <w:ind w:firstLine="640" w:firstLineChars="200"/>
      <w:outlineLvl w:val="0"/>
    </w:pPr>
    <w:rPr>
      <w:rFonts w:ascii="Times New Roman" w:hAnsi="Times New Roman" w:eastAsia="仿宋_GB2312"/>
      <w:color w:val="FF0000"/>
      <w:sz w:val="32"/>
      <w:szCs w:val="32"/>
    </w:rPr>
  </w:style>
  <w:style w:type="paragraph" w:styleId="19">
    <w:name w:val="Balloon Text"/>
    <w:basedOn w:val="1"/>
    <w:link w:val="52"/>
    <w:unhideWhenUsed/>
    <w:qFormat/>
    <w:uiPriority w:val="99"/>
    <w:rPr>
      <w:sz w:val="18"/>
      <w:szCs w:val="18"/>
    </w:rPr>
  </w:style>
  <w:style w:type="paragraph" w:styleId="20">
    <w:name w:val="footer"/>
    <w:basedOn w:val="1"/>
    <w:link w:val="53"/>
    <w:unhideWhenUsed/>
    <w:qFormat/>
    <w:uiPriority w:val="99"/>
    <w:pPr>
      <w:tabs>
        <w:tab w:val="center" w:pos="4153"/>
        <w:tab w:val="right" w:pos="8306"/>
      </w:tabs>
      <w:snapToGrid w:val="0"/>
      <w:jc w:val="left"/>
    </w:pPr>
    <w:rPr>
      <w:sz w:val="18"/>
      <w:szCs w:val="18"/>
    </w:rPr>
  </w:style>
  <w:style w:type="paragraph" w:styleId="21">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b/>
      <w:bCs/>
      <w:caps/>
      <w:sz w:val="20"/>
      <w:szCs w:val="20"/>
    </w:rPr>
  </w:style>
  <w:style w:type="paragraph" w:styleId="23">
    <w:name w:val="Subtitle"/>
    <w:basedOn w:val="1"/>
    <w:next w:val="1"/>
    <w:link w:val="55"/>
    <w:qFormat/>
    <w:uiPriority w:val="11"/>
    <w:pPr>
      <w:spacing w:before="240" w:after="60" w:line="312" w:lineRule="auto"/>
      <w:jc w:val="center"/>
      <w:outlineLvl w:val="1"/>
    </w:pPr>
    <w:rPr>
      <w:rFonts w:ascii="Cambria" w:hAnsi="Cambria" w:cs="Times New Roman"/>
      <w:b/>
      <w:bCs/>
      <w:kern w:val="28"/>
      <w:sz w:val="32"/>
      <w:szCs w:val="32"/>
    </w:rPr>
  </w:style>
  <w:style w:type="paragraph" w:styleId="24">
    <w:name w:val="toc 2"/>
    <w:basedOn w:val="1"/>
    <w:next w:val="1"/>
    <w:qFormat/>
    <w:uiPriority w:val="39"/>
    <w:pPr>
      <w:ind w:left="280"/>
      <w:jc w:val="left"/>
    </w:pPr>
    <w:rPr>
      <w:smallCaps/>
      <w:sz w:val="20"/>
      <w:szCs w:val="20"/>
    </w:rPr>
  </w:style>
  <w:style w:type="paragraph" w:styleId="25">
    <w:name w:val="Body Text 2"/>
    <w:basedOn w:val="1"/>
    <w:link w:val="56"/>
    <w:unhideWhenUsed/>
    <w:qFormat/>
    <w:uiPriority w:val="99"/>
    <w:pPr>
      <w:spacing w:after="120" w:line="480" w:lineRule="auto"/>
    </w:pPr>
  </w:style>
  <w:style w:type="paragraph" w:styleId="2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 w:val="24"/>
      <w:szCs w:val="24"/>
    </w:rPr>
  </w:style>
  <w:style w:type="paragraph" w:styleId="27">
    <w:name w:val="Title"/>
    <w:basedOn w:val="1"/>
    <w:next w:val="1"/>
    <w:link w:val="57"/>
    <w:qFormat/>
    <w:uiPriority w:val="10"/>
    <w:pPr>
      <w:spacing w:before="240" w:after="60"/>
      <w:jc w:val="center"/>
      <w:outlineLvl w:val="0"/>
    </w:pPr>
    <w:rPr>
      <w:rFonts w:ascii="Cambria" w:hAnsi="Cambria" w:cs="Times New Roman"/>
      <w:b/>
      <w:bCs/>
      <w:sz w:val="32"/>
      <w:szCs w:val="32"/>
    </w:rPr>
  </w:style>
  <w:style w:type="paragraph" w:styleId="28">
    <w:name w:val="annotation subject"/>
    <w:basedOn w:val="14"/>
    <w:next w:val="14"/>
    <w:link w:val="58"/>
    <w:unhideWhenUsed/>
    <w:qFormat/>
    <w:uiPriority w:val="99"/>
    <w:rPr>
      <w:b/>
      <w:bCs/>
      <w:szCs w:val="21"/>
    </w:rPr>
  </w:style>
  <w:style w:type="table" w:styleId="30">
    <w:name w:val="Table Grid"/>
    <w:basedOn w:val="29"/>
    <w:qFormat/>
    <w:uiPriority w:val="39"/>
    <w:pPr>
      <w:spacing w:before="120" w:after="120"/>
      <w:ind w:firstLine="454"/>
    </w:pPr>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FollowedHyperlink"/>
    <w:basedOn w:val="31"/>
    <w:unhideWhenUsed/>
    <w:qFormat/>
    <w:uiPriority w:val="99"/>
    <w:rPr>
      <w:color w:val="800080"/>
      <w:u w:val="single"/>
    </w:rPr>
  </w:style>
  <w:style w:type="character" w:styleId="34">
    <w:name w:val="Emphasis"/>
    <w:basedOn w:val="31"/>
    <w:qFormat/>
    <w:uiPriority w:val="20"/>
    <w:rPr>
      <w:i/>
      <w:iCs/>
    </w:rPr>
  </w:style>
  <w:style w:type="character" w:styleId="35">
    <w:name w:val="Hyperlink"/>
    <w:basedOn w:val="31"/>
    <w:unhideWhenUsed/>
    <w:qFormat/>
    <w:uiPriority w:val="99"/>
    <w:rPr>
      <w:color w:val="0000FF"/>
      <w:u w:val="single"/>
    </w:rPr>
  </w:style>
  <w:style w:type="character" w:styleId="36">
    <w:name w:val="annotation reference"/>
    <w:basedOn w:val="31"/>
    <w:unhideWhenUsed/>
    <w:qFormat/>
    <w:uiPriority w:val="99"/>
    <w:rPr>
      <w:sz w:val="21"/>
      <w:szCs w:val="21"/>
    </w:rPr>
  </w:style>
  <w:style w:type="character" w:customStyle="1" w:styleId="37">
    <w:name w:val="标题 1 字符"/>
    <w:basedOn w:val="31"/>
    <w:link w:val="2"/>
    <w:qFormat/>
    <w:uiPriority w:val="9"/>
    <w:rPr>
      <w:rFonts w:ascii="黑体" w:hAnsi="黑体" w:eastAsia="黑体"/>
      <w:bCs/>
      <w:kern w:val="44"/>
      <w:sz w:val="30"/>
      <w:szCs w:val="30"/>
    </w:rPr>
  </w:style>
  <w:style w:type="character" w:customStyle="1" w:styleId="38">
    <w:name w:val="标题 2 字符"/>
    <w:basedOn w:val="31"/>
    <w:link w:val="3"/>
    <w:qFormat/>
    <w:uiPriority w:val="9"/>
    <w:rPr>
      <w:rFonts w:ascii="Times New Roman" w:hAnsi="Times New Roman" w:eastAsia="楷体_GB2312" w:cs="黑体"/>
      <w:b/>
      <w:bCs/>
      <w:sz w:val="32"/>
      <w:szCs w:val="32"/>
    </w:rPr>
  </w:style>
  <w:style w:type="character" w:customStyle="1" w:styleId="39">
    <w:name w:val="正文首行缩进 字符"/>
    <w:basedOn w:val="31"/>
    <w:link w:val="4"/>
    <w:semiHidden/>
    <w:qFormat/>
    <w:uiPriority w:val="0"/>
    <w:rPr>
      <w:rFonts w:ascii="仿宋" w:hAnsi="仿宋" w:eastAsia="仿宋"/>
      <w:kern w:val="0"/>
      <w:sz w:val="28"/>
      <w:szCs w:val="28"/>
      <w:lang w:val="en-GB" w:eastAsia="en-US"/>
    </w:rPr>
  </w:style>
  <w:style w:type="character" w:customStyle="1" w:styleId="40">
    <w:name w:val="标题 3 字符"/>
    <w:basedOn w:val="31"/>
    <w:link w:val="5"/>
    <w:qFormat/>
    <w:uiPriority w:val="9"/>
    <w:rPr>
      <w:rFonts w:ascii="Times New Roman" w:hAnsi="Times New Roman" w:eastAsia="宋体"/>
      <w:b/>
      <w:bCs/>
      <w:sz w:val="28"/>
      <w:szCs w:val="28"/>
    </w:rPr>
  </w:style>
  <w:style w:type="character" w:customStyle="1" w:styleId="41">
    <w:name w:val="正文文本 字符"/>
    <w:basedOn w:val="31"/>
    <w:link w:val="7"/>
    <w:semiHidden/>
    <w:qFormat/>
    <w:uiPriority w:val="99"/>
    <w:rPr>
      <w:rFonts w:ascii="宋体" w:hAnsi="宋体" w:eastAsia="宋体"/>
      <w:sz w:val="28"/>
      <w:szCs w:val="28"/>
    </w:rPr>
  </w:style>
  <w:style w:type="character" w:customStyle="1" w:styleId="42">
    <w:name w:val="标题 4 字符"/>
    <w:basedOn w:val="31"/>
    <w:link w:val="6"/>
    <w:semiHidden/>
    <w:qFormat/>
    <w:uiPriority w:val="9"/>
    <w:rPr>
      <w:rFonts w:ascii="Cambria" w:hAnsi="Cambria" w:eastAsia="宋体" w:cs="Times New Roman"/>
      <w:bCs/>
      <w:sz w:val="28"/>
      <w:szCs w:val="28"/>
    </w:rPr>
  </w:style>
  <w:style w:type="character" w:customStyle="1" w:styleId="43">
    <w:name w:val="标题 5 字符"/>
    <w:basedOn w:val="31"/>
    <w:link w:val="8"/>
    <w:semiHidden/>
    <w:qFormat/>
    <w:uiPriority w:val="9"/>
    <w:rPr>
      <w:rFonts w:ascii="宋体" w:hAnsi="宋体" w:eastAsia="宋体"/>
      <w:b/>
      <w:bCs/>
      <w:sz w:val="28"/>
      <w:szCs w:val="28"/>
    </w:rPr>
  </w:style>
  <w:style w:type="character" w:customStyle="1" w:styleId="44">
    <w:name w:val="标题 6 字符"/>
    <w:basedOn w:val="31"/>
    <w:link w:val="9"/>
    <w:semiHidden/>
    <w:qFormat/>
    <w:uiPriority w:val="9"/>
    <w:rPr>
      <w:rFonts w:ascii="Cambria" w:hAnsi="Cambria" w:eastAsia="宋体" w:cs="Times New Roman"/>
      <w:b/>
      <w:bCs/>
      <w:sz w:val="24"/>
      <w:szCs w:val="24"/>
    </w:rPr>
  </w:style>
  <w:style w:type="character" w:customStyle="1" w:styleId="45">
    <w:name w:val="标题 7 字符"/>
    <w:basedOn w:val="31"/>
    <w:link w:val="10"/>
    <w:semiHidden/>
    <w:qFormat/>
    <w:uiPriority w:val="9"/>
    <w:rPr>
      <w:rFonts w:ascii="宋体" w:hAnsi="宋体" w:eastAsia="宋体"/>
      <w:b/>
      <w:bCs/>
      <w:sz w:val="24"/>
      <w:szCs w:val="24"/>
    </w:rPr>
  </w:style>
  <w:style w:type="character" w:customStyle="1" w:styleId="46">
    <w:name w:val="标题 8 字符"/>
    <w:basedOn w:val="31"/>
    <w:link w:val="11"/>
    <w:semiHidden/>
    <w:qFormat/>
    <w:uiPriority w:val="9"/>
    <w:rPr>
      <w:rFonts w:ascii="Cambria" w:hAnsi="Cambria" w:eastAsia="宋体" w:cs="Times New Roman"/>
      <w:sz w:val="24"/>
      <w:szCs w:val="24"/>
    </w:rPr>
  </w:style>
  <w:style w:type="character" w:customStyle="1" w:styleId="47">
    <w:name w:val="标题 9 字符"/>
    <w:basedOn w:val="31"/>
    <w:link w:val="12"/>
    <w:semiHidden/>
    <w:qFormat/>
    <w:uiPriority w:val="9"/>
    <w:rPr>
      <w:rFonts w:ascii="Cambria" w:hAnsi="Cambria" w:eastAsia="宋体" w:cs="Times New Roman"/>
      <w:sz w:val="28"/>
      <w:szCs w:val="21"/>
    </w:rPr>
  </w:style>
  <w:style w:type="character" w:customStyle="1" w:styleId="48">
    <w:name w:val="题注 字符"/>
    <w:link w:val="13"/>
    <w:semiHidden/>
    <w:qFormat/>
    <w:uiPriority w:val="35"/>
    <w:rPr>
      <w:rFonts w:ascii="Cambria" w:hAnsi="Cambria" w:eastAsia="黑体" w:cs="Times New Roman"/>
      <w:sz w:val="20"/>
      <w:szCs w:val="20"/>
    </w:rPr>
  </w:style>
  <w:style w:type="character" w:customStyle="1" w:styleId="49">
    <w:name w:val="批注文字 字符"/>
    <w:basedOn w:val="31"/>
    <w:link w:val="14"/>
    <w:qFormat/>
    <w:uiPriority w:val="99"/>
  </w:style>
  <w:style w:type="character" w:customStyle="1" w:styleId="50">
    <w:name w:val="正文文本缩进 字符"/>
    <w:basedOn w:val="31"/>
    <w:link w:val="15"/>
    <w:semiHidden/>
    <w:qFormat/>
    <w:uiPriority w:val="99"/>
    <w:rPr>
      <w:rFonts w:ascii="宋体" w:hAnsi="宋体" w:eastAsia="宋体"/>
      <w:sz w:val="28"/>
      <w:szCs w:val="28"/>
    </w:rPr>
  </w:style>
  <w:style w:type="character" w:customStyle="1" w:styleId="51">
    <w:name w:val="正文文本缩进 2 字符"/>
    <w:basedOn w:val="31"/>
    <w:link w:val="18"/>
    <w:qFormat/>
    <w:uiPriority w:val="99"/>
    <w:rPr>
      <w:rFonts w:ascii="Times New Roman" w:hAnsi="Times New Roman" w:eastAsia="仿宋_GB2312"/>
      <w:color w:val="FF0000"/>
      <w:sz w:val="32"/>
      <w:szCs w:val="32"/>
    </w:rPr>
  </w:style>
  <w:style w:type="character" w:customStyle="1" w:styleId="52">
    <w:name w:val="批注框文本 字符"/>
    <w:basedOn w:val="31"/>
    <w:link w:val="19"/>
    <w:semiHidden/>
    <w:qFormat/>
    <w:uiPriority w:val="99"/>
    <w:rPr>
      <w:rFonts w:ascii="宋体" w:hAnsi="宋体" w:eastAsia="宋体"/>
      <w:sz w:val="18"/>
      <w:szCs w:val="18"/>
    </w:rPr>
  </w:style>
  <w:style w:type="character" w:customStyle="1" w:styleId="53">
    <w:name w:val="页脚 字符"/>
    <w:basedOn w:val="31"/>
    <w:link w:val="20"/>
    <w:qFormat/>
    <w:uiPriority w:val="99"/>
    <w:rPr>
      <w:rFonts w:ascii="宋体" w:hAnsi="宋体" w:eastAsia="宋体"/>
      <w:sz w:val="18"/>
      <w:szCs w:val="18"/>
    </w:rPr>
  </w:style>
  <w:style w:type="character" w:customStyle="1" w:styleId="54">
    <w:name w:val="页眉 字符"/>
    <w:basedOn w:val="31"/>
    <w:link w:val="21"/>
    <w:qFormat/>
    <w:uiPriority w:val="99"/>
    <w:rPr>
      <w:rFonts w:ascii="宋体" w:hAnsi="宋体" w:eastAsia="宋体"/>
      <w:sz w:val="18"/>
      <w:szCs w:val="18"/>
    </w:rPr>
  </w:style>
  <w:style w:type="character" w:customStyle="1" w:styleId="55">
    <w:name w:val="副标题 字符"/>
    <w:basedOn w:val="31"/>
    <w:link w:val="23"/>
    <w:qFormat/>
    <w:uiPriority w:val="11"/>
    <w:rPr>
      <w:rFonts w:ascii="Cambria" w:hAnsi="Cambria" w:eastAsia="宋体" w:cs="Times New Roman"/>
      <w:b/>
      <w:bCs/>
      <w:kern w:val="28"/>
      <w:sz w:val="32"/>
      <w:szCs w:val="32"/>
    </w:rPr>
  </w:style>
  <w:style w:type="character" w:customStyle="1" w:styleId="56">
    <w:name w:val="正文文本 2 字符"/>
    <w:basedOn w:val="31"/>
    <w:link w:val="25"/>
    <w:semiHidden/>
    <w:qFormat/>
    <w:uiPriority w:val="99"/>
    <w:rPr>
      <w:rFonts w:ascii="宋体" w:hAnsi="宋体" w:eastAsia="宋体"/>
      <w:sz w:val="28"/>
      <w:szCs w:val="28"/>
    </w:rPr>
  </w:style>
  <w:style w:type="character" w:customStyle="1" w:styleId="57">
    <w:name w:val="标题 字符"/>
    <w:basedOn w:val="31"/>
    <w:link w:val="27"/>
    <w:qFormat/>
    <w:uiPriority w:val="10"/>
    <w:rPr>
      <w:rFonts w:ascii="Cambria" w:hAnsi="Cambria" w:eastAsia="宋体" w:cs="Times New Roman"/>
      <w:b/>
      <w:bCs/>
      <w:sz w:val="32"/>
      <w:szCs w:val="32"/>
    </w:rPr>
  </w:style>
  <w:style w:type="character" w:customStyle="1" w:styleId="58">
    <w:name w:val="批注主题 字符"/>
    <w:basedOn w:val="49"/>
    <w:link w:val="28"/>
    <w:semiHidden/>
    <w:qFormat/>
    <w:uiPriority w:val="99"/>
    <w:rPr>
      <w:b/>
      <w:bCs/>
      <w:kern w:val="2"/>
      <w:sz w:val="21"/>
      <w:szCs w:val="21"/>
    </w:rPr>
  </w:style>
  <w:style w:type="paragraph" w:customStyle="1" w:styleId="59">
    <w:name w:val="表头"/>
    <w:basedOn w:val="1"/>
    <w:next w:val="1"/>
    <w:link w:val="60"/>
    <w:qFormat/>
    <w:uiPriority w:val="0"/>
    <w:pPr>
      <w:framePr w:hSpace="180" w:wrap="around" w:vAnchor="text" w:hAnchor="margin" w:xAlign="center" w:y="87"/>
      <w:widowControl/>
      <w:jc w:val="left"/>
    </w:pPr>
    <w:rPr>
      <w:rFonts w:ascii="仿宋" w:hAnsi="仿宋" w:eastAsia="仿宋"/>
      <w:b/>
      <w:sz w:val="24"/>
      <w:szCs w:val="24"/>
    </w:rPr>
  </w:style>
  <w:style w:type="character" w:customStyle="1" w:styleId="60">
    <w:name w:val="表头 Char"/>
    <w:basedOn w:val="31"/>
    <w:link w:val="59"/>
    <w:qFormat/>
    <w:uiPriority w:val="0"/>
    <w:rPr>
      <w:rFonts w:ascii="仿宋" w:hAnsi="仿宋" w:eastAsia="仿宋"/>
      <w:b/>
      <w:sz w:val="24"/>
      <w:szCs w:val="24"/>
    </w:rPr>
  </w:style>
  <w:style w:type="paragraph" w:customStyle="1" w:styleId="61">
    <w:name w:val="分类说明项1"/>
    <w:basedOn w:val="1"/>
    <w:next w:val="15"/>
    <w:qFormat/>
    <w:uiPriority w:val="0"/>
    <w:pPr>
      <w:keepNext/>
      <w:numPr>
        <w:ilvl w:val="0"/>
        <w:numId w:val="2"/>
      </w:numPr>
      <w:spacing w:after="156"/>
    </w:pPr>
    <w:rPr>
      <w:b/>
    </w:rPr>
  </w:style>
  <w:style w:type="paragraph" w:customStyle="1" w:styleId="62">
    <w:name w:val="分类说明2"/>
    <w:basedOn w:val="25"/>
    <w:next w:val="15"/>
    <w:qFormat/>
    <w:uiPriority w:val="0"/>
    <w:pPr>
      <w:widowControl/>
      <w:numPr>
        <w:ilvl w:val="0"/>
        <w:numId w:val="3"/>
      </w:numPr>
      <w:spacing w:after="156" w:line="240" w:lineRule="exact"/>
      <w:jc w:val="left"/>
    </w:pPr>
    <w:rPr>
      <w:rFonts w:ascii="Arial" w:hAnsi="Arial"/>
      <w:b/>
      <w:kern w:val="0"/>
      <w:sz w:val="24"/>
      <w:szCs w:val="20"/>
    </w:rPr>
  </w:style>
  <w:style w:type="paragraph" w:customStyle="1" w:styleId="63">
    <w:name w:val="问题标题"/>
    <w:basedOn w:val="1"/>
    <w:next w:val="4"/>
    <w:qFormat/>
    <w:uiPriority w:val="0"/>
    <w:pPr>
      <w:numPr>
        <w:ilvl w:val="0"/>
        <w:numId w:val="4"/>
      </w:numPr>
    </w:pPr>
    <w:rPr>
      <w:rFonts w:ascii="宋体" w:hAnsi="宋体" w:eastAsia="黑体"/>
      <w:sz w:val="24"/>
      <w:szCs w:val="28"/>
    </w:rPr>
  </w:style>
  <w:style w:type="paragraph" w:customStyle="1" w:styleId="64">
    <w:name w:val="表头1"/>
    <w:basedOn w:val="1"/>
    <w:next w:val="1"/>
    <w:qFormat/>
    <w:uiPriority w:val="0"/>
    <w:pPr>
      <w:framePr w:hSpace="180" w:wrap="around" w:vAnchor="text" w:hAnchor="margin" w:xAlign="center" w:y="87"/>
      <w:widowControl/>
      <w:jc w:val="left"/>
    </w:pPr>
    <w:rPr>
      <w:rFonts w:ascii="仿宋" w:hAnsi="仿宋" w:eastAsia="仿宋"/>
      <w:b/>
      <w:sz w:val="24"/>
      <w:szCs w:val="24"/>
    </w:rPr>
  </w:style>
  <w:style w:type="paragraph" w:customStyle="1" w:styleId="65">
    <w:name w:val="表格内容文字居中"/>
    <w:basedOn w:val="1"/>
    <w:qFormat/>
    <w:uiPriority w:val="0"/>
    <w:pPr>
      <w:widowControl/>
      <w:jc w:val="center"/>
    </w:pPr>
    <w:rPr>
      <w:rFonts w:ascii="Arial" w:hAnsi="Arial" w:cs="宋体"/>
    </w:rPr>
  </w:style>
  <w:style w:type="paragraph" w:styleId="66">
    <w:name w:val="No Spacing"/>
    <w:link w:val="67"/>
    <w:qFormat/>
    <w:uiPriority w:val="1"/>
    <w:pPr>
      <w:spacing w:beforeLines="50" w:afterLines="50" w:line="520" w:lineRule="exact"/>
      <w:ind w:firstLine="454"/>
    </w:pPr>
    <w:rPr>
      <w:rFonts w:ascii="Arial" w:hAnsi="Arial" w:eastAsia="宋体" w:cs="Times New Roman"/>
      <w:kern w:val="2"/>
      <w:sz w:val="24"/>
      <w:szCs w:val="21"/>
      <w:lang w:val="en-US" w:eastAsia="zh-CN" w:bidi="ar-SA"/>
    </w:rPr>
  </w:style>
  <w:style w:type="character" w:customStyle="1" w:styleId="67">
    <w:name w:val="无间隔 字符"/>
    <w:basedOn w:val="31"/>
    <w:link w:val="66"/>
    <w:qFormat/>
    <w:uiPriority w:val="1"/>
    <w:rPr>
      <w:rFonts w:ascii="Arial" w:hAnsi="Arial"/>
      <w:sz w:val="24"/>
      <w:szCs w:val="21"/>
    </w:rPr>
  </w:style>
  <w:style w:type="paragraph" w:styleId="68">
    <w:name w:val="List Paragraph"/>
    <w:basedOn w:val="1"/>
    <w:link w:val="69"/>
    <w:qFormat/>
    <w:uiPriority w:val="34"/>
    <w:pPr>
      <w:ind w:firstLine="420" w:firstLineChars="200"/>
    </w:pPr>
  </w:style>
  <w:style w:type="character" w:customStyle="1" w:styleId="69">
    <w:name w:val="列出段落 字符"/>
    <w:link w:val="68"/>
    <w:qFormat/>
    <w:uiPriority w:val="34"/>
    <w:rPr>
      <w:rFonts w:ascii="宋体" w:hAnsi="宋体" w:eastAsia="宋体"/>
      <w:sz w:val="28"/>
      <w:szCs w:val="28"/>
    </w:rPr>
  </w:style>
  <w:style w:type="paragraph" w:styleId="70">
    <w:name w:val="Quote"/>
    <w:basedOn w:val="1"/>
    <w:next w:val="1"/>
    <w:link w:val="71"/>
    <w:qFormat/>
    <w:uiPriority w:val="29"/>
    <w:rPr>
      <w:i/>
      <w:iCs/>
      <w:color w:val="000000"/>
    </w:rPr>
  </w:style>
  <w:style w:type="character" w:customStyle="1" w:styleId="71">
    <w:name w:val="引用 字符"/>
    <w:basedOn w:val="31"/>
    <w:link w:val="70"/>
    <w:qFormat/>
    <w:uiPriority w:val="29"/>
    <w:rPr>
      <w:rFonts w:ascii="宋体" w:hAnsi="宋体" w:eastAsia="宋体"/>
      <w:i/>
      <w:iCs/>
      <w:color w:val="000000"/>
      <w:sz w:val="28"/>
      <w:szCs w:val="28"/>
    </w:rPr>
  </w:style>
  <w:style w:type="paragraph" w:styleId="72">
    <w:name w:val="Intense Quote"/>
    <w:basedOn w:val="1"/>
    <w:next w:val="1"/>
    <w:link w:val="73"/>
    <w:qFormat/>
    <w:uiPriority w:val="30"/>
    <w:pPr>
      <w:pBdr>
        <w:bottom w:val="single" w:color="4F81BD" w:sz="4" w:space="4"/>
      </w:pBdr>
      <w:spacing w:before="200" w:after="280"/>
      <w:ind w:left="936" w:right="936"/>
    </w:pPr>
    <w:rPr>
      <w:b/>
      <w:bCs/>
      <w:i/>
      <w:iCs/>
      <w:color w:val="4F81BD"/>
    </w:rPr>
  </w:style>
  <w:style w:type="character" w:customStyle="1" w:styleId="73">
    <w:name w:val="明显引用 字符"/>
    <w:basedOn w:val="31"/>
    <w:link w:val="72"/>
    <w:qFormat/>
    <w:uiPriority w:val="30"/>
    <w:rPr>
      <w:rFonts w:ascii="宋体" w:hAnsi="宋体" w:eastAsia="宋体"/>
      <w:b/>
      <w:bCs/>
      <w:i/>
      <w:iCs/>
      <w:color w:val="4F81BD"/>
      <w:sz w:val="28"/>
      <w:szCs w:val="28"/>
    </w:rPr>
  </w:style>
  <w:style w:type="character" w:customStyle="1" w:styleId="74">
    <w:name w:val="不明显强调1"/>
    <w:basedOn w:val="31"/>
    <w:qFormat/>
    <w:uiPriority w:val="19"/>
    <w:rPr>
      <w:i/>
      <w:iCs/>
      <w:color w:val="7F7F7F"/>
    </w:rPr>
  </w:style>
  <w:style w:type="character" w:customStyle="1" w:styleId="75">
    <w:name w:val="明显强调1"/>
    <w:basedOn w:val="31"/>
    <w:qFormat/>
    <w:uiPriority w:val="21"/>
    <w:rPr>
      <w:b/>
      <w:bCs/>
      <w:i/>
      <w:iCs/>
      <w:color w:val="4F81BD"/>
    </w:rPr>
  </w:style>
  <w:style w:type="character" w:customStyle="1" w:styleId="76">
    <w:name w:val="不明显参考1"/>
    <w:basedOn w:val="31"/>
    <w:qFormat/>
    <w:uiPriority w:val="31"/>
    <w:rPr>
      <w:smallCaps/>
      <w:color w:val="C0504D"/>
      <w:u w:val="single"/>
    </w:rPr>
  </w:style>
  <w:style w:type="character" w:customStyle="1" w:styleId="77">
    <w:name w:val="明显参考1"/>
    <w:basedOn w:val="31"/>
    <w:qFormat/>
    <w:uiPriority w:val="32"/>
    <w:rPr>
      <w:b/>
      <w:bCs/>
      <w:smallCaps/>
      <w:color w:val="C0504D"/>
      <w:spacing w:val="5"/>
      <w:u w:val="single"/>
    </w:rPr>
  </w:style>
  <w:style w:type="character" w:customStyle="1" w:styleId="78">
    <w:name w:val="书籍标题1"/>
    <w:basedOn w:val="31"/>
    <w:qFormat/>
    <w:uiPriority w:val="33"/>
    <w:rPr>
      <w:b/>
      <w:bCs/>
      <w:smallCaps/>
      <w:spacing w:val="5"/>
    </w:rPr>
  </w:style>
  <w:style w:type="paragraph" w:customStyle="1" w:styleId="79">
    <w:name w:val="TOC 标题1"/>
    <w:basedOn w:val="2"/>
    <w:next w:val="1"/>
    <w:unhideWhenUsed/>
    <w:qFormat/>
    <w:uiPriority w:val="39"/>
    <w:pPr>
      <w:numPr>
        <w:ilvl w:val="0"/>
        <w:numId w:val="0"/>
      </w:numPr>
      <w:spacing w:before="340" w:after="330" w:line="578" w:lineRule="auto"/>
      <w:ind w:right="0" w:rightChars="0"/>
      <w:jc w:val="both"/>
      <w:outlineLvl w:val="9"/>
    </w:pPr>
    <w:rPr>
      <w:rFonts w:ascii="宋体" w:hAnsi="宋体" w:eastAsia="宋体"/>
      <w:b/>
      <w:sz w:val="44"/>
      <w:szCs w:val="44"/>
    </w:rPr>
  </w:style>
  <w:style w:type="paragraph" w:customStyle="1" w:styleId="80">
    <w:name w:val="回答"/>
    <w:basedOn w:val="4"/>
    <w:next w:val="63"/>
    <w:qFormat/>
    <w:uiPriority w:val="0"/>
    <w:pPr>
      <w:numPr>
        <w:ilvl w:val="0"/>
        <w:numId w:val="5"/>
      </w:numPr>
      <w:spacing w:after="156"/>
      <w:ind w:firstLine="0" w:firstLineChars="0"/>
    </w:pPr>
    <w:rPr>
      <w:sz w:val="28"/>
      <w:szCs w:val="28"/>
      <w:lang w:val="en-US" w:eastAsia="zh-CN"/>
    </w:rPr>
  </w:style>
  <w:style w:type="paragraph" w:customStyle="1" w:styleId="8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2">
    <w:name w:val="font6"/>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83">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szCs w:val="22"/>
    </w:rPr>
  </w:style>
  <w:style w:type="paragraph" w:customStyle="1" w:styleId="84">
    <w:name w:val="xl63"/>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85">
    <w:name w:val="xl64"/>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8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9">
    <w:name w:val="xl68"/>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0">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DDD9C4"/>
      <w:spacing w:before="100" w:beforeAutospacing="1" w:after="100" w:afterAutospacing="1"/>
      <w:jc w:val="center"/>
      <w:textAlignment w:val="center"/>
    </w:pPr>
    <w:rPr>
      <w:rFonts w:ascii="黑体" w:hAnsi="黑体" w:eastAsia="黑体" w:cs="宋体"/>
      <w:kern w:val="0"/>
      <w:sz w:val="24"/>
      <w:szCs w:val="24"/>
    </w:rPr>
  </w:style>
  <w:style w:type="paragraph" w:customStyle="1" w:styleId="91">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3">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73"/>
    <w:basedOn w:val="1"/>
    <w:qFormat/>
    <w:uiPriority w:val="0"/>
    <w:pPr>
      <w:widowControl/>
      <w:pBdr>
        <w:top w:val="single" w:color="auto" w:sz="4" w:space="0"/>
        <w:left w:val="single" w:color="auto" w:sz="4" w:space="0"/>
        <w:right w:val="single" w:color="auto" w:sz="4" w:space="0"/>
      </w:pBdr>
      <w:shd w:val="clear" w:color="000000" w:fill="DDD9C4"/>
      <w:spacing w:before="100" w:beforeAutospacing="1" w:after="100" w:afterAutospacing="1"/>
      <w:jc w:val="center"/>
      <w:textAlignment w:val="center"/>
    </w:pPr>
    <w:rPr>
      <w:rFonts w:ascii="黑体" w:hAnsi="黑体" w:eastAsia="黑体" w:cs="宋体"/>
      <w:kern w:val="0"/>
      <w:sz w:val="24"/>
      <w:szCs w:val="24"/>
    </w:rPr>
  </w:style>
  <w:style w:type="paragraph" w:customStyle="1" w:styleId="95">
    <w:name w:val="xl74"/>
    <w:basedOn w:val="1"/>
    <w:qFormat/>
    <w:uiPriority w:val="0"/>
    <w:pPr>
      <w:widowControl/>
      <w:pBdr>
        <w:left w:val="single" w:color="auto" w:sz="4" w:space="0"/>
        <w:bottom w:val="single" w:color="auto" w:sz="4" w:space="0"/>
        <w:right w:val="single" w:color="auto" w:sz="4" w:space="0"/>
      </w:pBdr>
      <w:shd w:val="clear" w:color="000000" w:fill="DDD9C4"/>
      <w:spacing w:before="100" w:beforeAutospacing="1" w:after="100" w:afterAutospacing="1"/>
      <w:jc w:val="center"/>
      <w:textAlignment w:val="center"/>
    </w:pPr>
    <w:rPr>
      <w:rFonts w:ascii="黑体" w:hAnsi="黑体" w:eastAsia="黑体" w:cs="宋体"/>
      <w:kern w:val="0"/>
      <w:sz w:val="24"/>
      <w:szCs w:val="24"/>
    </w:rPr>
  </w:style>
  <w:style w:type="paragraph" w:customStyle="1" w:styleId="96">
    <w:name w:val="xl75"/>
    <w:basedOn w:val="1"/>
    <w:qFormat/>
    <w:uiPriority w:val="0"/>
    <w:pPr>
      <w:widowControl/>
      <w:pBdr>
        <w:top w:val="single" w:color="auto" w:sz="4" w:space="0"/>
        <w:left w:val="single" w:color="auto" w:sz="4" w:space="0"/>
        <w:right w:val="single" w:color="auto" w:sz="4" w:space="0"/>
      </w:pBdr>
      <w:shd w:val="clear" w:color="000000" w:fill="DDD9C4"/>
      <w:spacing w:before="100" w:beforeAutospacing="1" w:after="100" w:afterAutospacing="1"/>
      <w:jc w:val="center"/>
      <w:textAlignment w:val="center"/>
    </w:pPr>
    <w:rPr>
      <w:rFonts w:ascii="黑体" w:hAnsi="黑体" w:eastAsia="黑体" w:cs="宋体"/>
      <w:kern w:val="0"/>
      <w:sz w:val="24"/>
      <w:szCs w:val="24"/>
    </w:rPr>
  </w:style>
  <w:style w:type="paragraph" w:customStyle="1" w:styleId="97">
    <w:name w:val="xl76"/>
    <w:basedOn w:val="1"/>
    <w:qFormat/>
    <w:uiPriority w:val="0"/>
    <w:pPr>
      <w:widowControl/>
      <w:pBdr>
        <w:left w:val="single" w:color="auto" w:sz="4" w:space="0"/>
        <w:bottom w:val="single" w:color="auto" w:sz="4" w:space="0"/>
        <w:right w:val="single" w:color="auto" w:sz="4" w:space="0"/>
      </w:pBdr>
      <w:shd w:val="clear" w:color="000000" w:fill="DDD9C4"/>
      <w:spacing w:before="100" w:beforeAutospacing="1" w:after="100" w:afterAutospacing="1"/>
      <w:jc w:val="center"/>
      <w:textAlignment w:val="center"/>
    </w:pPr>
    <w:rPr>
      <w:rFonts w:ascii="黑体" w:hAnsi="黑体" w:eastAsia="黑体" w:cs="宋体"/>
      <w:kern w:val="0"/>
      <w:sz w:val="24"/>
      <w:szCs w:val="24"/>
    </w:rPr>
  </w:style>
  <w:style w:type="paragraph" w:customStyle="1" w:styleId="9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DD9C4"/>
      <w:spacing w:before="100" w:beforeAutospacing="1" w:after="100" w:afterAutospacing="1"/>
      <w:jc w:val="center"/>
      <w:textAlignment w:val="center"/>
    </w:pPr>
    <w:rPr>
      <w:rFonts w:ascii="黑体" w:hAnsi="黑体" w:eastAsia="黑体" w:cs="宋体"/>
      <w:kern w:val="0"/>
      <w:sz w:val="24"/>
      <w:szCs w:val="24"/>
    </w:rPr>
  </w:style>
  <w:style w:type="paragraph" w:customStyle="1" w:styleId="9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DD9C4"/>
      <w:spacing w:before="100" w:beforeAutospacing="1" w:after="100" w:afterAutospacing="1"/>
      <w:jc w:val="left"/>
      <w:textAlignment w:val="center"/>
    </w:pPr>
    <w:rPr>
      <w:rFonts w:ascii="黑体" w:hAnsi="黑体" w:eastAsia="黑体" w:cs="宋体"/>
      <w:kern w:val="0"/>
      <w:sz w:val="24"/>
      <w:szCs w:val="24"/>
    </w:rPr>
  </w:style>
  <w:style w:type="paragraph" w:customStyle="1" w:styleId="100">
    <w:name w:val="xl79"/>
    <w:basedOn w:val="1"/>
    <w:qFormat/>
    <w:uiPriority w:val="0"/>
    <w:pPr>
      <w:widowControl/>
      <w:spacing w:before="100" w:beforeAutospacing="1" w:after="100" w:afterAutospacing="1"/>
      <w:jc w:val="center"/>
    </w:pPr>
    <w:rPr>
      <w:rFonts w:ascii="仿宋_GB2312" w:hAnsi="宋体" w:eastAsia="仿宋_GB2312" w:cs="宋体"/>
      <w:color w:val="000000"/>
      <w:kern w:val="0"/>
    </w:rPr>
  </w:style>
  <w:style w:type="paragraph" w:customStyle="1" w:styleId="101">
    <w:name w:val="0正文"/>
    <w:basedOn w:val="1"/>
    <w:qFormat/>
    <w:uiPriority w:val="0"/>
    <w:pPr>
      <w:tabs>
        <w:tab w:val="left" w:pos="360"/>
      </w:tabs>
      <w:ind w:firstLine="480"/>
    </w:pPr>
    <w:rPr>
      <w:rFonts w:ascii="Times New Roman" w:hAnsi="Times New Roman" w:cs="Times New Roman"/>
      <w:kern w:val="0"/>
      <w:szCs w:val="24"/>
    </w:rPr>
  </w:style>
  <w:style w:type="paragraph" w:customStyle="1" w:styleId="102">
    <w:name w:val="ANNEX"/>
    <w:basedOn w:val="1"/>
    <w:next w:val="1"/>
    <w:qFormat/>
    <w:uiPriority w:val="0"/>
    <w:pPr>
      <w:keepNext/>
      <w:pageBreakBefore/>
      <w:widowControl/>
      <w:spacing w:after="760" w:line="310" w:lineRule="exact"/>
      <w:jc w:val="center"/>
      <w:outlineLvl w:val="0"/>
    </w:pPr>
    <w:rPr>
      <w:rFonts w:ascii="Arial" w:hAnsi="Arial" w:cs="Times New Roman"/>
      <w:b/>
      <w:kern w:val="0"/>
      <w:szCs w:val="20"/>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5842</Words>
  <Characters>5998</Characters>
  <Lines>26</Lines>
  <Paragraphs>7</Paragraphs>
  <TotalTime>31</TotalTime>
  <ScaleCrop>false</ScaleCrop>
  <LinksUpToDate>false</LinksUpToDate>
  <CharactersWithSpaces>6002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2022-06-13T02:09:00Z</dcterms:created>
  <dc:creator>周旭</dc:creator>
  <cp:lastModifiedBy>Z</cp:lastModifiedBy>
  <cp:lastPrinted>2023-05-22T00:13:26Z</cp:lastPrinted>
  <dcterms:modified xsi:type="dcterms:W3CDTF">2023-06-05T00:33:40Z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CE14E2325AE84B27A23457EE4ABEDF54_13</vt:lpwstr>
  </property>
</Properties>
</file>