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480" w:lineRule="auto"/>
        <w:outlineLvl w:val="0"/>
        <w:rPr>
          <w:rFonts w:hint="eastAsia" w:ascii="仿宋_GB2312" w:hAnsi="仿宋_GB2312" w:eastAsia="仿宋_GB2312"/>
          <w:color w:val="000000"/>
          <w:kern w:val="36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36"/>
          <w:sz w:val="30"/>
          <w:szCs w:val="30"/>
          <w:u w:val="none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36"/>
          <w:sz w:val="30"/>
          <w:szCs w:val="30"/>
          <w:u w:val="none"/>
          <w:lang w:val="en-US" w:eastAsia="zh-CN"/>
        </w:rPr>
        <w:t>1</w:t>
      </w:r>
    </w:p>
    <w:p>
      <w:pPr>
        <w:widowControl/>
        <w:shd w:val="clear" w:color="auto" w:fill="FFFFFF"/>
        <w:spacing w:line="360" w:lineRule="auto"/>
        <w:ind w:firstLine="643" w:firstLineChars="200"/>
        <w:jc w:val="center"/>
        <w:outlineLvl w:val="1"/>
        <w:rPr>
          <w:rFonts w:ascii="方正小标宋简体" w:hAnsi="宋体" w:eastAsia="方正小标宋简体"/>
          <w:b/>
          <w:bCs/>
          <w:kern w:val="36"/>
          <w:sz w:val="32"/>
          <w:szCs w:val="32"/>
          <w:u w:val="none"/>
        </w:rPr>
      </w:pPr>
      <w:r>
        <w:rPr>
          <w:rFonts w:ascii="方正小标宋简体" w:hAnsi="宋体" w:eastAsia="方正小标宋简体" w:cs="方正小标宋简体"/>
          <w:b/>
          <w:bCs/>
          <w:kern w:val="36"/>
          <w:sz w:val="32"/>
          <w:szCs w:val="32"/>
          <w:u w:val="none"/>
        </w:rPr>
        <w:t>201</w:t>
      </w:r>
      <w:r>
        <w:rPr>
          <w:rFonts w:hint="eastAsia" w:ascii="方正小标宋简体" w:hAnsi="宋体" w:eastAsia="方正小标宋简体" w:cs="方正小标宋简体"/>
          <w:b/>
          <w:bCs/>
          <w:kern w:val="36"/>
          <w:sz w:val="32"/>
          <w:szCs w:val="32"/>
          <w:u w:val="none"/>
          <w:lang w:val="en-US" w:eastAsia="zh-CN"/>
        </w:rPr>
        <w:t>9</w:t>
      </w:r>
      <w:r>
        <w:rPr>
          <w:rFonts w:hint="eastAsia" w:ascii="方正小标宋简体" w:hAnsi="宋体" w:eastAsia="方正小标宋简体" w:cs="方正小标宋简体"/>
          <w:b/>
          <w:bCs/>
          <w:kern w:val="36"/>
          <w:sz w:val="32"/>
          <w:szCs w:val="32"/>
          <w:u w:val="none"/>
        </w:rPr>
        <w:t>年度全国土地估价师、土地登记代理人</w:t>
      </w:r>
    </w:p>
    <w:p>
      <w:pPr>
        <w:widowControl/>
        <w:shd w:val="clear" w:color="auto" w:fill="FFFFFF"/>
        <w:spacing w:line="360" w:lineRule="auto"/>
        <w:ind w:firstLine="643" w:firstLineChars="200"/>
        <w:jc w:val="center"/>
        <w:outlineLvl w:val="1"/>
        <w:rPr>
          <w:rFonts w:ascii="方正小标宋简体" w:hAnsi="宋体" w:eastAsia="方正小标宋简体"/>
          <w:b/>
          <w:bCs/>
          <w:kern w:val="36"/>
          <w:sz w:val="32"/>
          <w:szCs w:val="32"/>
          <w:u w:val="none"/>
        </w:rPr>
      </w:pPr>
      <w:r>
        <w:rPr>
          <w:rFonts w:hint="eastAsia" w:ascii="方正小标宋简体" w:hAnsi="宋体" w:eastAsia="方正小标宋简体" w:cs="方正小标宋简体"/>
          <w:b/>
          <w:bCs/>
          <w:kern w:val="36"/>
          <w:sz w:val="32"/>
          <w:szCs w:val="32"/>
          <w:u w:val="none"/>
        </w:rPr>
        <w:t>继续教育活动申报指南</w:t>
      </w:r>
    </w:p>
    <w:p>
      <w:pPr>
        <w:ind w:firstLine="640"/>
        <w:rPr>
          <w:rFonts w:ascii="仿宋_GB2312" w:hAnsi="仿宋_GB2312" w:eastAsia="仿宋_GB2312"/>
          <w:b/>
          <w:bCs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</w:rPr>
        <w:t>一、总体要求</w:t>
      </w:r>
    </w:p>
    <w:p>
      <w:pPr>
        <w:ind w:firstLine="640"/>
        <w:rPr>
          <w:rFonts w:ascii="仿宋_GB2312" w:hAnsi="仿宋_GB2312" w:eastAsia="仿宋_GB2312"/>
          <w:sz w:val="30"/>
          <w:szCs w:val="30"/>
          <w:u w:val="none"/>
        </w:rPr>
      </w:pPr>
      <w:r>
        <w:rPr>
          <w:rFonts w:ascii="仿宋_GB2312" w:hAnsi="仿宋_GB2312" w:eastAsia="仿宋_GB2312" w:cs="仿宋_GB2312"/>
          <w:sz w:val="28"/>
          <w:szCs w:val="28"/>
          <w:u w:val="none"/>
        </w:rPr>
        <w:t>2</w:t>
      </w:r>
      <w:r>
        <w:rPr>
          <w:rFonts w:ascii="仿宋_GB2312" w:hAnsi="仿宋_GB2312" w:eastAsia="仿宋_GB2312" w:cs="仿宋_GB2312"/>
          <w:sz w:val="30"/>
          <w:szCs w:val="30"/>
          <w:u w:val="none"/>
        </w:rPr>
        <w:t>01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土地估价师、土地登记代理人继续教育学时要求如下：</w:t>
      </w:r>
    </w:p>
    <w:p>
      <w:pPr>
        <w:ind w:firstLine="640"/>
        <w:rPr>
          <w:rFonts w:ascii="仿宋_GB2312" w:hAnsi="仿宋_GB2312" w:eastAsia="仿宋_GB2312"/>
          <w:sz w:val="30"/>
          <w:szCs w:val="30"/>
          <w:u w:val="none"/>
        </w:rPr>
      </w:pPr>
      <w:r>
        <w:rPr>
          <w:rFonts w:ascii="仿宋_GB2312" w:hAnsi="仿宋_GB2312" w:eastAsia="仿宋_GB2312" w:cs="仿宋_GB2312"/>
          <w:sz w:val="30"/>
          <w:szCs w:val="30"/>
          <w:u w:val="none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具备土地估价师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  <w:t>执业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资格的，继续教育学时按照《中国土地估价师继续教育纲要》（中估协发</w:t>
      </w:r>
      <w:r>
        <w:rPr>
          <w:rFonts w:hint="eastAsia" w:ascii="仿宋_GB2312" w:hAnsi="宋体" w:eastAsia="仿宋_GB2312" w:cs="仿宋_GB2312"/>
          <w:color w:val="333333"/>
          <w:kern w:val="0"/>
          <w:sz w:val="30"/>
          <w:szCs w:val="30"/>
          <w:u w:val="none"/>
        </w:rPr>
        <w:t>〔</w:t>
      </w:r>
      <w:r>
        <w:rPr>
          <w:rFonts w:ascii="仿宋_GB2312" w:hAnsi="宋体" w:eastAsia="仿宋_GB2312" w:cs="仿宋_GB2312"/>
          <w:color w:val="333333"/>
          <w:kern w:val="0"/>
          <w:sz w:val="30"/>
          <w:szCs w:val="30"/>
          <w:u w:val="none"/>
        </w:rPr>
        <w:t>2012</w:t>
      </w:r>
      <w:r>
        <w:rPr>
          <w:rFonts w:hint="eastAsia" w:ascii="仿宋_GB2312" w:hAnsi="宋体" w:eastAsia="仿宋_GB2312" w:cs="仿宋_GB2312"/>
          <w:color w:val="333333"/>
          <w:kern w:val="0"/>
          <w:sz w:val="30"/>
          <w:szCs w:val="30"/>
          <w:u w:val="none"/>
        </w:rPr>
        <w:t>〕</w:t>
      </w:r>
      <w:r>
        <w:rPr>
          <w:rFonts w:ascii="仿宋_GB2312" w:hAnsi="宋体" w:eastAsia="仿宋_GB2312" w:cs="仿宋_GB2312"/>
          <w:color w:val="333333"/>
          <w:kern w:val="0"/>
          <w:sz w:val="30"/>
          <w:szCs w:val="30"/>
          <w:u w:val="none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号）规定执行；</w:t>
      </w:r>
    </w:p>
    <w:p>
      <w:pPr>
        <w:rPr>
          <w:rFonts w:ascii="仿宋_GB2312" w:hAnsi="仿宋_GB2312" w:eastAsia="仿宋_GB2312"/>
          <w:sz w:val="30"/>
          <w:szCs w:val="30"/>
          <w:u w:val="none"/>
        </w:rPr>
      </w:pPr>
      <w:r>
        <w:rPr>
          <w:rFonts w:ascii="仿宋_GB2312" w:hAnsi="仿宋_GB2312" w:eastAsia="仿宋_GB2312" w:cs="仿宋_GB2312"/>
          <w:sz w:val="30"/>
          <w:szCs w:val="30"/>
          <w:u w:val="none"/>
        </w:rPr>
        <w:t xml:space="preserve">    2.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具备土地登记代理人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执业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资格的，继续教育不少于</w:t>
      </w:r>
      <w:r>
        <w:rPr>
          <w:rFonts w:ascii="仿宋_GB2312" w:hAnsi="仿宋_GB2312" w:eastAsia="仿宋_GB2312" w:cs="仿宋_GB2312"/>
          <w:sz w:val="30"/>
          <w:szCs w:val="30"/>
          <w:u w:val="none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学时；其中未成立省土地登记代理行业协会的地区，继续教育活动由中国土地估价师与土地登记代理人协会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  <w:t>（以下简称中估协）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具体承办；</w:t>
      </w:r>
    </w:p>
    <w:p>
      <w:pPr>
        <w:ind w:firstLine="640"/>
        <w:rPr>
          <w:rFonts w:ascii="仿宋_GB2312" w:hAnsi="仿宋_GB2312" w:eastAsia="仿宋_GB2312"/>
          <w:sz w:val="30"/>
          <w:szCs w:val="30"/>
          <w:u w:val="none"/>
        </w:rPr>
      </w:pPr>
      <w:r>
        <w:rPr>
          <w:rFonts w:ascii="仿宋_GB2312" w:hAnsi="仿宋_GB2312" w:eastAsia="仿宋_GB2312" w:cs="仿宋_GB2312"/>
          <w:sz w:val="30"/>
          <w:szCs w:val="30"/>
          <w:u w:val="none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同时具备土地估价师、土地登记代理人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  <w:t>执业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资格的，继续教育累计不少于</w:t>
      </w:r>
      <w:r>
        <w:rPr>
          <w:rFonts w:ascii="仿宋_GB2312" w:hAnsi="仿宋_GB2312" w:eastAsia="仿宋_GB2312" w:cs="仿宋_GB2312"/>
          <w:sz w:val="30"/>
          <w:szCs w:val="30"/>
          <w:u w:val="none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学时；</w:t>
      </w:r>
    </w:p>
    <w:p>
      <w:pPr>
        <w:ind w:firstLine="640"/>
        <w:rPr>
          <w:rFonts w:ascii="仿宋_GB2312" w:hAnsi="仿宋_GB2312" w:eastAsia="仿宋_GB2312"/>
          <w:sz w:val="30"/>
          <w:szCs w:val="30"/>
          <w:u w:val="none"/>
        </w:rPr>
      </w:pPr>
      <w:r>
        <w:rPr>
          <w:rFonts w:ascii="仿宋_GB2312" w:hAnsi="仿宋_GB2312" w:eastAsia="仿宋_GB2312" w:cs="仿宋_GB2312"/>
          <w:sz w:val="30"/>
          <w:szCs w:val="30"/>
          <w:u w:val="none"/>
        </w:rPr>
        <w:t>4.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具有土地估价师、土地登记代理人总人数超过</w:t>
      </w:r>
      <w:r>
        <w:rPr>
          <w:rFonts w:ascii="仿宋_GB2312" w:hAnsi="仿宋_GB2312" w:eastAsia="仿宋_GB2312" w:cs="仿宋_GB2312"/>
          <w:sz w:val="30"/>
          <w:szCs w:val="30"/>
          <w:u w:val="none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人（含</w:t>
      </w:r>
      <w:r>
        <w:rPr>
          <w:rFonts w:ascii="仿宋_GB2312" w:hAnsi="仿宋_GB2312" w:eastAsia="仿宋_GB2312" w:cs="仿宋_GB2312"/>
          <w:sz w:val="30"/>
          <w:szCs w:val="30"/>
          <w:u w:val="none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人）的机构，可开展机构内部培训。土地估价师、土地登记代理人通过机构内部培训继续教育不超过</w:t>
      </w:r>
      <w:r>
        <w:rPr>
          <w:rFonts w:ascii="仿宋_GB2312" w:hAnsi="仿宋_GB2312" w:eastAsia="仿宋_GB2312" w:cs="仿宋_GB2312"/>
          <w:sz w:val="30"/>
          <w:szCs w:val="30"/>
          <w:u w:val="none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学时。</w:t>
      </w:r>
    </w:p>
    <w:p>
      <w:pPr>
        <w:ind w:firstLine="640"/>
        <w:rPr>
          <w:rFonts w:hint="eastAsia" w:ascii="仿宋_GB2312" w:hAnsi="仿宋_GB2312" w:eastAsia="仿宋_GB2312"/>
          <w:sz w:val="30"/>
          <w:szCs w:val="30"/>
          <w:u w:val="none"/>
          <w:lang w:eastAsia="zh-CN"/>
        </w:rPr>
      </w:pPr>
      <w:r>
        <w:rPr>
          <w:rFonts w:ascii="仿宋_GB2312" w:hAnsi="仿宋_GB2312" w:eastAsia="仿宋_GB2312" w:cs="仿宋_GB2312"/>
          <w:sz w:val="30"/>
          <w:szCs w:val="30"/>
          <w:u w:val="none"/>
        </w:rPr>
        <w:t>201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年度全国土地估价师、土地登记代理人继续教育活动实行事前报告、事中监督、事后检查制度，由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  <w:t>中估协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或其委托的省土地估价、登记代理行业协会对各继续教育活动进行监督检查、考核评价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  <w:t>并汇总后报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行业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  <w:t>行政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主管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  <w:t>部门备案。</w:t>
      </w:r>
    </w:p>
    <w:p>
      <w:pPr>
        <w:ind w:firstLine="640"/>
        <w:rPr>
          <w:rFonts w:ascii="仿宋_GB2312" w:hAnsi="仿宋_GB2312" w:eastAsia="仿宋_GB2312"/>
          <w:b/>
          <w:bCs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u w:val="none"/>
        </w:rPr>
        <w:t>二、申报方式</w:t>
      </w:r>
    </w:p>
    <w:p>
      <w:pPr>
        <w:ind w:firstLine="640"/>
        <w:rPr>
          <w:rFonts w:ascii="仿宋_GB2312" w:hAnsi="仿宋_GB2312" w:eastAsia="仿宋_GB2312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省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直辖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  <w:t>市、自治区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土地估价、登记代理行业协会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  <w:t>和可开展内部培训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的土地估价、登记代理中介机构登录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中估协网站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“继续教育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  <w:t>管理系统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”（</w:t>
      </w:r>
      <w:r>
        <w:rPr>
          <w:rFonts w:ascii="仿宋_GB2312" w:hAnsi="仿宋_GB2312" w:eastAsia="仿宋_GB2312" w:cs="仿宋_GB2312"/>
          <w:sz w:val="30"/>
          <w:szCs w:val="30"/>
          <w:u w:val="none"/>
        </w:rPr>
        <w:t>http://www.creva.org.cn/edu/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  <w:t>在线进行申报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。</w:t>
      </w:r>
    </w:p>
    <w:p>
      <w:pPr>
        <w:ind w:firstLine="640"/>
        <w:rPr>
          <w:rFonts w:ascii="仿宋_GB2312" w:hAnsi="仿宋_GB2312" w:eastAsia="仿宋_GB2312"/>
          <w:b/>
          <w:bCs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u w:val="none"/>
        </w:rPr>
        <w:t>三、申报内容要求</w:t>
      </w:r>
    </w:p>
    <w:p>
      <w:pPr>
        <w:ind w:firstLine="640"/>
        <w:rPr>
          <w:rFonts w:ascii="仿宋_GB2312" w:hAnsi="仿宋_GB2312" w:eastAsia="仿宋_GB2312"/>
          <w:sz w:val="30"/>
          <w:szCs w:val="30"/>
          <w:u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继续教育活动内容应充分考虑土地估价师、土地登记代理人实际需求，力求创新务实、结构合理、重点突出，主要方向为：</w:t>
      </w:r>
    </w:p>
    <w:p>
      <w:pPr>
        <w:ind w:firstLine="640"/>
        <w:rPr>
          <w:rFonts w:ascii="仿宋_GB2312" w:hAnsi="仿宋_GB2312" w:eastAsia="仿宋_GB2312"/>
          <w:sz w:val="30"/>
          <w:szCs w:val="30"/>
          <w:u w:val="none"/>
        </w:rPr>
      </w:pPr>
      <w:r>
        <w:rPr>
          <w:rFonts w:ascii="仿宋_GB2312" w:hAnsi="仿宋_GB2312" w:eastAsia="仿宋_GB2312" w:cs="仿宋_GB2312"/>
          <w:sz w:val="30"/>
          <w:szCs w:val="30"/>
          <w:u w:val="none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  <w:t>土地估价政策、技术、规范等方面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；</w:t>
      </w:r>
    </w:p>
    <w:p>
      <w:pPr>
        <w:ind w:firstLine="640"/>
        <w:rPr>
          <w:rFonts w:ascii="仿宋_GB2312" w:hAnsi="仿宋_GB2312" w:eastAsia="仿宋_GB2312"/>
          <w:sz w:val="30"/>
          <w:szCs w:val="30"/>
          <w:u w:val="none"/>
        </w:rPr>
      </w:pPr>
      <w:r>
        <w:rPr>
          <w:rFonts w:ascii="仿宋_GB2312" w:hAnsi="仿宋_GB2312" w:eastAsia="仿宋_GB2312" w:cs="仿宋_GB2312"/>
          <w:sz w:val="30"/>
          <w:szCs w:val="30"/>
          <w:u w:val="none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  <w:t>不动产登记政策、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制度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  <w:t>、实务等方面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；</w:t>
      </w:r>
    </w:p>
    <w:p>
      <w:pPr>
        <w:ind w:firstLine="640"/>
        <w:rPr>
          <w:rFonts w:ascii="仿宋_GB2312" w:hAnsi="仿宋_GB2312" w:eastAsia="仿宋_GB2312"/>
          <w:sz w:val="30"/>
          <w:szCs w:val="30"/>
          <w:u w:val="none"/>
        </w:rPr>
      </w:pPr>
      <w:r>
        <w:rPr>
          <w:rFonts w:ascii="仿宋_GB2312" w:hAnsi="仿宋_GB2312" w:eastAsia="仿宋_GB2312" w:cs="仿宋_GB2312"/>
          <w:sz w:val="30"/>
          <w:szCs w:val="30"/>
          <w:u w:val="none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  <w:t>土地估价师、土地登记代理人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执业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  <w:t>行为准则，职业道德规范方面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；</w:t>
      </w:r>
    </w:p>
    <w:p>
      <w:pPr>
        <w:ind w:firstLine="640"/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</w:pPr>
      <w:r>
        <w:rPr>
          <w:rFonts w:ascii="仿宋_GB2312" w:hAnsi="仿宋_GB2312" w:eastAsia="仿宋_GB2312" w:cs="仿宋_GB2312"/>
          <w:sz w:val="30"/>
          <w:szCs w:val="30"/>
          <w:u w:val="none"/>
        </w:rPr>
        <w:t>4.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  <w:t>自然资源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评价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eastAsia="zh-CN"/>
        </w:rPr>
        <w:t>评估方面；</w:t>
      </w:r>
    </w:p>
    <w:p>
      <w:pPr>
        <w:ind w:firstLine="640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5.自然资源调查、登记、所有者权益及国土空间规划、测绘等方面。</w:t>
      </w:r>
    </w:p>
    <w:p>
      <w:pPr>
        <w:ind w:firstLine="640"/>
        <w:rPr>
          <w:rFonts w:hint="eastAsia" w:ascii="仿宋_GB2312" w:hAnsi="仿宋_GB2312" w:eastAsia="仿宋_GB2312" w:cs="仿宋_GB2312"/>
          <w:sz w:val="30"/>
          <w:szCs w:val="30"/>
          <w:u w:val="none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0"/>
          <w:szCs w:val="30"/>
          <w:u w:val="none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440" w:right="1800" w:bottom="1440" w:left="1800" w:header="851" w:footer="992" w:gutter="0"/>
          <w:pgNumType w:start="3"/>
          <w:cols w:space="425" w:num="1"/>
          <w:titlePg/>
          <w:docGrid w:type="lines" w:linePitch="312" w:charSpace="0"/>
        </w:sectPr>
      </w:pP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  <w:u w:val="none"/>
        </w:rPr>
      </w:pP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  <w:u w:val="none"/>
        </w:rPr>
      </w:pP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  <w:u w:val="none"/>
        </w:rPr>
      </w:pP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  <w:u w:val="none"/>
        </w:rPr>
      </w:pPr>
    </w:p>
    <w:p>
      <w:pPr>
        <w:rPr>
          <w:rFonts w:ascii="仿宋_GB2312" w:eastAsia="仿宋_GB2312"/>
          <w:sz w:val="28"/>
          <w:szCs w:val="28"/>
          <w:u w:val="none"/>
        </w:rPr>
      </w:pPr>
    </w:p>
    <w:p>
      <w:pPr>
        <w:rPr>
          <w:rFonts w:ascii="仿宋_GB2312" w:eastAsia="仿宋_GB2312"/>
          <w:sz w:val="28"/>
          <w:szCs w:val="28"/>
          <w:u w:val="none"/>
        </w:rPr>
      </w:pPr>
    </w:p>
    <w:p>
      <w:pPr>
        <w:spacing w:line="360" w:lineRule="auto"/>
        <w:ind w:firstLine="560" w:firstLineChars="200"/>
        <w:rPr>
          <w:rFonts w:ascii="仿宋_GB2312" w:hAnsi="仿宋_GB2312" w:eastAsia="仿宋_GB2312"/>
          <w:sz w:val="28"/>
          <w:szCs w:val="28"/>
          <w:u w:val="none"/>
        </w:rPr>
      </w:pPr>
    </w:p>
    <w:sectPr>
      <w:footerReference r:id="rId8" w:type="first"/>
      <w:footerReference r:id="rId7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9" o:spid="_x0000_s409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</w:p>
  <w:p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CDD"/>
    <w:rsid w:val="00002BC6"/>
    <w:rsid w:val="00017440"/>
    <w:rsid w:val="0008071B"/>
    <w:rsid w:val="000B0F23"/>
    <w:rsid w:val="000C4409"/>
    <w:rsid w:val="00154558"/>
    <w:rsid w:val="001E1901"/>
    <w:rsid w:val="001F12F3"/>
    <w:rsid w:val="001F5362"/>
    <w:rsid w:val="002778AE"/>
    <w:rsid w:val="002F5845"/>
    <w:rsid w:val="00304E49"/>
    <w:rsid w:val="00311313"/>
    <w:rsid w:val="003D6542"/>
    <w:rsid w:val="004B0D19"/>
    <w:rsid w:val="004C4636"/>
    <w:rsid w:val="004E4A28"/>
    <w:rsid w:val="004F1E1D"/>
    <w:rsid w:val="005645FA"/>
    <w:rsid w:val="00566800"/>
    <w:rsid w:val="00590720"/>
    <w:rsid w:val="005A152E"/>
    <w:rsid w:val="005A1757"/>
    <w:rsid w:val="005A61E8"/>
    <w:rsid w:val="005B7253"/>
    <w:rsid w:val="005D3124"/>
    <w:rsid w:val="005E026C"/>
    <w:rsid w:val="0065795E"/>
    <w:rsid w:val="006A0A52"/>
    <w:rsid w:val="006E5FCE"/>
    <w:rsid w:val="006F4AA5"/>
    <w:rsid w:val="007E1947"/>
    <w:rsid w:val="00816498"/>
    <w:rsid w:val="008372C2"/>
    <w:rsid w:val="008C1015"/>
    <w:rsid w:val="009B41F6"/>
    <w:rsid w:val="009D081F"/>
    <w:rsid w:val="009F6027"/>
    <w:rsid w:val="00A17E2D"/>
    <w:rsid w:val="00A41886"/>
    <w:rsid w:val="00AC105F"/>
    <w:rsid w:val="00AC6CC1"/>
    <w:rsid w:val="00AE6B23"/>
    <w:rsid w:val="00AF0FAE"/>
    <w:rsid w:val="00AF60DF"/>
    <w:rsid w:val="00B00444"/>
    <w:rsid w:val="00B04AB7"/>
    <w:rsid w:val="00BE3DA9"/>
    <w:rsid w:val="00C00CDD"/>
    <w:rsid w:val="00CA7F0B"/>
    <w:rsid w:val="00CC2D31"/>
    <w:rsid w:val="00D30C63"/>
    <w:rsid w:val="00D7327E"/>
    <w:rsid w:val="00DC6F2A"/>
    <w:rsid w:val="00E07D2B"/>
    <w:rsid w:val="00E11E5D"/>
    <w:rsid w:val="00E30A0D"/>
    <w:rsid w:val="00E720FA"/>
    <w:rsid w:val="00E84007"/>
    <w:rsid w:val="00EA528F"/>
    <w:rsid w:val="00ED69FF"/>
    <w:rsid w:val="03701118"/>
    <w:rsid w:val="0F0339A1"/>
    <w:rsid w:val="116E3620"/>
    <w:rsid w:val="135E42EF"/>
    <w:rsid w:val="18E95745"/>
    <w:rsid w:val="1A8F1D9F"/>
    <w:rsid w:val="1B0E70A1"/>
    <w:rsid w:val="1C2F151C"/>
    <w:rsid w:val="1E6D0FE6"/>
    <w:rsid w:val="1F544375"/>
    <w:rsid w:val="200C4C04"/>
    <w:rsid w:val="23D12930"/>
    <w:rsid w:val="26574FB2"/>
    <w:rsid w:val="28107C4B"/>
    <w:rsid w:val="2ABB2647"/>
    <w:rsid w:val="2F813BC7"/>
    <w:rsid w:val="323C200E"/>
    <w:rsid w:val="332C4054"/>
    <w:rsid w:val="35A06341"/>
    <w:rsid w:val="39016A3D"/>
    <w:rsid w:val="39475B35"/>
    <w:rsid w:val="39DF738B"/>
    <w:rsid w:val="3BB715C1"/>
    <w:rsid w:val="3C4440A2"/>
    <w:rsid w:val="3EA8400A"/>
    <w:rsid w:val="443F5C52"/>
    <w:rsid w:val="47EC227D"/>
    <w:rsid w:val="49532C1C"/>
    <w:rsid w:val="4A323DD2"/>
    <w:rsid w:val="4C5F2E97"/>
    <w:rsid w:val="4D02033A"/>
    <w:rsid w:val="4F700791"/>
    <w:rsid w:val="509942F1"/>
    <w:rsid w:val="52F1271B"/>
    <w:rsid w:val="55EA7768"/>
    <w:rsid w:val="55F0431E"/>
    <w:rsid w:val="56331954"/>
    <w:rsid w:val="57170E5A"/>
    <w:rsid w:val="58081419"/>
    <w:rsid w:val="58171CE4"/>
    <w:rsid w:val="59D26585"/>
    <w:rsid w:val="5A1934E5"/>
    <w:rsid w:val="5C3D0209"/>
    <w:rsid w:val="5DEE5C1B"/>
    <w:rsid w:val="650F240F"/>
    <w:rsid w:val="691F0DFC"/>
    <w:rsid w:val="6AB555C1"/>
    <w:rsid w:val="6BA31CF7"/>
    <w:rsid w:val="6BE51A47"/>
    <w:rsid w:val="6E1F4344"/>
    <w:rsid w:val="6F340A8D"/>
    <w:rsid w:val="710E6DC3"/>
    <w:rsid w:val="71B65A92"/>
    <w:rsid w:val="74752A14"/>
    <w:rsid w:val="76706816"/>
    <w:rsid w:val="7B761F5C"/>
    <w:rsid w:val="7BC6546C"/>
    <w:rsid w:val="7CB64FA8"/>
    <w:rsid w:val="7D6163F8"/>
    <w:rsid w:val="7D9B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2"/>
    <w:semiHidden/>
    <w:qFormat/>
    <w:uiPriority w:val="99"/>
    <w:rPr>
      <w:b/>
      <w:bCs/>
    </w:rPr>
  </w:style>
  <w:style w:type="paragraph" w:styleId="3">
    <w:name w:val="annotation text"/>
    <w:basedOn w:val="1"/>
    <w:link w:val="11"/>
    <w:semiHidden/>
    <w:qFormat/>
    <w:uiPriority w:val="99"/>
    <w:pPr>
      <w:jc w:val="left"/>
    </w:p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styleId="9">
    <w:name w:val="annotation reference"/>
    <w:basedOn w:val="7"/>
    <w:semiHidden/>
    <w:qFormat/>
    <w:uiPriority w:val="99"/>
    <w:rPr>
      <w:sz w:val="21"/>
      <w:szCs w:val="21"/>
    </w:rPr>
  </w:style>
  <w:style w:type="character" w:customStyle="1" w:styleId="11">
    <w:name w:val="Comment Text Char"/>
    <w:basedOn w:val="7"/>
    <w:link w:val="3"/>
    <w:semiHidden/>
    <w:qFormat/>
    <w:locked/>
    <w:uiPriority w:val="99"/>
    <w:rPr>
      <w:rFonts w:ascii="Calibri" w:hAnsi="Calibri" w:cs="Calibri"/>
      <w:kern w:val="2"/>
      <w:sz w:val="21"/>
      <w:szCs w:val="21"/>
    </w:rPr>
  </w:style>
  <w:style w:type="character" w:customStyle="1" w:styleId="12">
    <w:name w:val="Comment Subject Char"/>
    <w:basedOn w:val="11"/>
    <w:link w:val="2"/>
    <w:semiHidden/>
    <w:qFormat/>
    <w:locked/>
    <w:uiPriority w:val="99"/>
    <w:rPr>
      <w:b/>
      <w:bCs/>
    </w:rPr>
  </w:style>
  <w:style w:type="character" w:customStyle="1" w:styleId="13">
    <w:name w:val="Balloon Text Char"/>
    <w:basedOn w:val="7"/>
    <w:link w:val="4"/>
    <w:semiHidden/>
    <w:qFormat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14">
    <w:name w:val="Footer Char"/>
    <w:basedOn w:val="7"/>
    <w:link w:val="5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5">
    <w:name w:val="Header Char"/>
    <w:basedOn w:val="7"/>
    <w:link w:val="6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  <customShpInfo spid="_x0000_s4099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2</Pages>
  <Words>121</Words>
  <Characters>695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2016-04-18T01:45:00Z</dcterms:created>
  <dc:creator>DELL</dc:creator>
  <cp:lastModifiedBy>dell</cp:lastModifiedBy>
  <cp:lastPrinted>2019-01-07T07:31:00Z</cp:lastPrinted>
  <dcterms:modified xsi:type="dcterms:W3CDTF">2019-01-10T01:42:16Z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